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8C2FA" w14:textId="18938402" w:rsidR="005261A7" w:rsidRPr="00E53A76" w:rsidRDefault="004307B8" w:rsidP="004307B8">
      <w:pPr>
        <w:pStyle w:val="ListParagraph"/>
        <w:numPr>
          <w:ilvl w:val="0"/>
          <w:numId w:val="1"/>
        </w:numPr>
        <w:rPr>
          <w:rFonts w:ascii="Times New Roman" w:hAnsi="Times New Roman" w:cs="Times New Roman"/>
        </w:rPr>
      </w:pPr>
      <w:r w:rsidRPr="00E53A76">
        <w:rPr>
          <w:rFonts w:ascii="Times New Roman" w:hAnsi="Times New Roman" w:cs="Times New Roman"/>
        </w:rPr>
        <w:t xml:space="preserve">4.2.2: “any changes affect </w:t>
      </w:r>
      <w:r w:rsidRPr="00E53A76">
        <w:rPr>
          <w:rFonts w:ascii="Times New Roman" w:hAnsi="Times New Roman" w:cs="Times New Roman"/>
          <w:b/>
          <w:bCs/>
        </w:rPr>
        <w:t>new probationary faculty</w:t>
      </w:r>
      <w:r w:rsidRPr="00E53A76">
        <w:rPr>
          <w:rFonts w:ascii="Times New Roman" w:hAnsi="Times New Roman" w:cs="Times New Roman"/>
        </w:rPr>
        <w:t xml:space="preserve"> only and are not retroactive, except as provided in section 4.2.3 below” – Does “new probationary” </w:t>
      </w:r>
      <w:r w:rsidR="00BB5432" w:rsidRPr="00E53A76">
        <w:rPr>
          <w:rFonts w:ascii="Times New Roman" w:hAnsi="Times New Roman" w:cs="Times New Roman"/>
        </w:rPr>
        <w:t>refer to</w:t>
      </w:r>
      <w:r w:rsidRPr="00E53A76">
        <w:rPr>
          <w:rFonts w:ascii="Times New Roman" w:hAnsi="Times New Roman" w:cs="Times New Roman"/>
        </w:rPr>
        <w:t xml:space="preserve"> faculty </w:t>
      </w:r>
      <w:r w:rsidRPr="00E53A76">
        <w:rPr>
          <w:rFonts w:ascii="Times New Roman" w:hAnsi="Times New Roman" w:cs="Times New Roman"/>
          <w:b/>
          <w:bCs/>
          <w:u w:val="single"/>
        </w:rPr>
        <w:t>starting</w:t>
      </w:r>
      <w:r w:rsidRPr="00E53A76">
        <w:rPr>
          <w:rFonts w:ascii="Times New Roman" w:hAnsi="Times New Roman" w:cs="Times New Roman"/>
          <w:u w:val="single"/>
        </w:rPr>
        <w:t xml:space="preserve"> </w:t>
      </w:r>
      <w:r w:rsidRPr="00E53A76">
        <w:rPr>
          <w:rFonts w:ascii="Times New Roman" w:hAnsi="Times New Roman" w:cs="Times New Roman"/>
        </w:rPr>
        <w:t xml:space="preserve">the tenure-track assistant or associate position before the effective date of the new guideline or </w:t>
      </w:r>
      <w:r w:rsidR="00055F56" w:rsidRPr="00E53A76">
        <w:rPr>
          <w:rFonts w:ascii="Times New Roman" w:hAnsi="Times New Roman" w:cs="Times New Roman"/>
        </w:rPr>
        <w:t xml:space="preserve">those </w:t>
      </w:r>
      <w:r w:rsidRPr="00E53A76">
        <w:rPr>
          <w:rFonts w:ascii="Times New Roman" w:hAnsi="Times New Roman" w:cs="Times New Roman"/>
          <w:b/>
          <w:bCs/>
          <w:u w:val="single"/>
        </w:rPr>
        <w:t>applying</w:t>
      </w:r>
      <w:r w:rsidRPr="00E53A76">
        <w:rPr>
          <w:rFonts w:ascii="Times New Roman" w:hAnsi="Times New Roman" w:cs="Times New Roman"/>
          <w:b/>
          <w:bCs/>
        </w:rPr>
        <w:t xml:space="preserve"> </w:t>
      </w:r>
      <w:r w:rsidRPr="00E53A76">
        <w:rPr>
          <w:rFonts w:ascii="Times New Roman" w:hAnsi="Times New Roman" w:cs="Times New Roman"/>
        </w:rPr>
        <w:t xml:space="preserve">for P/T? Also, does </w:t>
      </w:r>
      <w:r w:rsidR="003D5169" w:rsidRPr="00E53A76">
        <w:rPr>
          <w:rFonts w:ascii="Times New Roman" w:hAnsi="Times New Roman" w:cs="Times New Roman"/>
        </w:rPr>
        <w:t>th</w:t>
      </w:r>
      <w:r w:rsidR="00FB3B15" w:rsidRPr="00E53A76">
        <w:rPr>
          <w:rFonts w:ascii="Times New Roman" w:hAnsi="Times New Roman" w:cs="Times New Roman"/>
        </w:rPr>
        <w:t>is</w:t>
      </w:r>
      <w:r w:rsidRPr="00E53A76">
        <w:rPr>
          <w:rFonts w:ascii="Times New Roman" w:hAnsi="Times New Roman" w:cs="Times New Roman"/>
        </w:rPr>
        <w:t xml:space="preserve"> apply to the university guidelines or only the “department, college and school guidelines” as it is </w:t>
      </w:r>
      <w:r w:rsidR="00FB3B15" w:rsidRPr="00E53A76">
        <w:rPr>
          <w:rFonts w:ascii="Times New Roman" w:hAnsi="Times New Roman" w:cs="Times New Roman"/>
        </w:rPr>
        <w:t xml:space="preserve">only </w:t>
      </w:r>
      <w:r w:rsidRPr="00E53A76">
        <w:rPr>
          <w:rFonts w:ascii="Times New Roman" w:hAnsi="Times New Roman" w:cs="Times New Roman"/>
        </w:rPr>
        <w:t xml:space="preserve">mentioned under 4.2.2? </w:t>
      </w:r>
    </w:p>
    <w:p w14:paraId="7FE4F08B" w14:textId="58ED0472" w:rsidR="000C7922" w:rsidRPr="00E53A76" w:rsidRDefault="004307B8" w:rsidP="000C7922">
      <w:pPr>
        <w:pStyle w:val="ListParagraph"/>
        <w:numPr>
          <w:ilvl w:val="0"/>
          <w:numId w:val="1"/>
        </w:numPr>
        <w:rPr>
          <w:rFonts w:ascii="Times New Roman" w:hAnsi="Times New Roman" w:cs="Times New Roman"/>
          <w:u w:val="single"/>
        </w:rPr>
      </w:pPr>
      <w:r w:rsidRPr="00E53A76">
        <w:rPr>
          <w:rFonts w:ascii="Times New Roman" w:hAnsi="Times New Roman" w:cs="Times New Roman"/>
        </w:rPr>
        <w:t xml:space="preserve">4.2.1: Unclear if separate department P&amp;T guidelines and college/school guidelines are needed. </w:t>
      </w:r>
      <w:r w:rsidR="000C7922" w:rsidRPr="00E53A76">
        <w:rPr>
          <w:rFonts w:ascii="Times New Roman" w:hAnsi="Times New Roman" w:cs="Times New Roman"/>
        </w:rPr>
        <w:t xml:space="preserve">4.2.1: </w:t>
      </w:r>
      <w:r w:rsidR="000C7922" w:rsidRPr="00E53A76">
        <w:rPr>
          <w:rFonts w:ascii="Times New Roman" w:hAnsi="Times New Roman" w:cs="Times New Roman"/>
          <w:u w:val="single"/>
        </w:rPr>
        <w:t xml:space="preserve">The faculty and administrators of each department, college, and/or school must jointly develop written tenure and promotion guidelines describing the evaluation criteria employed in the unit. </w:t>
      </w:r>
      <w:r w:rsidR="00410A63" w:rsidRPr="00E53A76">
        <w:rPr>
          <w:rFonts w:ascii="Times New Roman" w:hAnsi="Times New Roman" w:cs="Times New Roman"/>
        </w:rPr>
        <w:t xml:space="preserve">What unit </w:t>
      </w:r>
      <w:r w:rsidR="00190BEB" w:rsidRPr="00E53A76">
        <w:rPr>
          <w:rFonts w:ascii="Times New Roman" w:hAnsi="Times New Roman" w:cs="Times New Roman"/>
        </w:rPr>
        <w:t xml:space="preserve">is it? Department or college? </w:t>
      </w:r>
    </w:p>
    <w:p w14:paraId="7A462C95" w14:textId="67CE1BF4" w:rsidR="004307B8" w:rsidRPr="00E53A76" w:rsidRDefault="00190BEB" w:rsidP="000C7922">
      <w:pPr>
        <w:pStyle w:val="ListParagraph"/>
        <w:rPr>
          <w:rFonts w:ascii="Times New Roman" w:hAnsi="Times New Roman" w:cs="Times New Roman"/>
        </w:rPr>
      </w:pPr>
      <w:r w:rsidRPr="00E53A76">
        <w:rPr>
          <w:rFonts w:ascii="Times New Roman" w:hAnsi="Times New Roman" w:cs="Times New Roman"/>
        </w:rPr>
        <w:t>Similarly i</w:t>
      </w:r>
      <w:r w:rsidR="004307B8" w:rsidRPr="00E53A76">
        <w:rPr>
          <w:rFonts w:ascii="Times New Roman" w:hAnsi="Times New Roman" w:cs="Times New Roman"/>
        </w:rPr>
        <w:t xml:space="preserve">n 4.2.2.: “Criteria should be changed only after careful and thorough joint deliberation by </w:t>
      </w:r>
      <w:r w:rsidR="004307B8" w:rsidRPr="00E53A76">
        <w:rPr>
          <w:rFonts w:ascii="Times New Roman" w:hAnsi="Times New Roman" w:cs="Times New Roman"/>
          <w:u w:val="single"/>
        </w:rPr>
        <w:t>tenured faculty members and administrators in the College</w:t>
      </w:r>
      <w:r w:rsidR="004307B8" w:rsidRPr="00E53A76">
        <w:rPr>
          <w:rFonts w:ascii="Times New Roman" w:hAnsi="Times New Roman" w:cs="Times New Roman"/>
        </w:rPr>
        <w:t xml:space="preserve">” </w:t>
      </w:r>
    </w:p>
    <w:p w14:paraId="37023D45" w14:textId="20A72F2C" w:rsidR="004307B8" w:rsidRPr="00E53A76" w:rsidRDefault="00234724" w:rsidP="004307B8">
      <w:pPr>
        <w:pStyle w:val="ListParagraph"/>
        <w:numPr>
          <w:ilvl w:val="0"/>
          <w:numId w:val="1"/>
        </w:numPr>
        <w:rPr>
          <w:rFonts w:ascii="Times New Roman" w:hAnsi="Times New Roman" w:cs="Times New Roman"/>
        </w:rPr>
      </w:pPr>
      <w:r w:rsidRPr="00E53A76">
        <w:rPr>
          <w:rFonts w:ascii="Times New Roman" w:hAnsi="Times New Roman" w:cs="Times New Roman"/>
        </w:rPr>
        <w:t xml:space="preserve">6.1.3: “personal relationship” unclear. </w:t>
      </w:r>
      <w:r w:rsidR="00190BEB" w:rsidRPr="00E53A76">
        <w:rPr>
          <w:rFonts w:ascii="Times New Roman" w:hAnsi="Times New Roman" w:cs="Times New Roman"/>
        </w:rPr>
        <w:t xml:space="preserve">Family </w:t>
      </w:r>
      <w:r w:rsidR="000F5304" w:rsidRPr="00E53A76">
        <w:rPr>
          <w:rFonts w:ascii="Times New Roman" w:hAnsi="Times New Roman" w:cs="Times New Roman"/>
        </w:rPr>
        <w:t>members or c</w:t>
      </w:r>
      <w:r w:rsidRPr="00E53A76">
        <w:rPr>
          <w:rFonts w:ascii="Times New Roman" w:hAnsi="Times New Roman" w:cs="Times New Roman"/>
        </w:rPr>
        <w:t>ollaborator</w:t>
      </w:r>
      <w:r w:rsidR="00190BEB" w:rsidRPr="00E53A76">
        <w:rPr>
          <w:rFonts w:ascii="Times New Roman" w:hAnsi="Times New Roman" w:cs="Times New Roman"/>
        </w:rPr>
        <w:t>s</w:t>
      </w:r>
      <w:r w:rsidRPr="00E53A76">
        <w:rPr>
          <w:rFonts w:ascii="Times New Roman" w:hAnsi="Times New Roman" w:cs="Times New Roman"/>
        </w:rPr>
        <w:t>? How to ensure to receive 3 letters from external reviewers within timeline? Honorarium at the department cost?</w:t>
      </w:r>
      <w:r w:rsidR="000F5304" w:rsidRPr="00E53A76">
        <w:rPr>
          <w:rFonts w:ascii="Times New Roman" w:hAnsi="Times New Roman" w:cs="Times New Roman"/>
        </w:rPr>
        <w:t xml:space="preserve"> Is </w:t>
      </w:r>
      <w:r w:rsidR="00D802A4" w:rsidRPr="00E53A76">
        <w:rPr>
          <w:rFonts w:ascii="Times New Roman" w:hAnsi="Times New Roman" w:cs="Times New Roman"/>
        </w:rPr>
        <w:t xml:space="preserve">it required for associate-&gt; full? </w:t>
      </w:r>
    </w:p>
    <w:p w14:paraId="674E6533" w14:textId="006EB0C7" w:rsidR="0053198A" w:rsidRPr="00E53A76" w:rsidRDefault="00A84534" w:rsidP="0053198A">
      <w:pPr>
        <w:pStyle w:val="ListParagraph"/>
        <w:numPr>
          <w:ilvl w:val="0"/>
          <w:numId w:val="1"/>
        </w:numPr>
        <w:shd w:val="clear" w:color="auto" w:fill="FFFFFF"/>
        <w:spacing w:after="0" w:line="240" w:lineRule="auto"/>
        <w:rPr>
          <w:rFonts w:ascii="Times New Roman" w:eastAsia="Times New Roman" w:hAnsi="Times New Roman" w:cs="Times New Roman"/>
          <w:b/>
          <w:bCs/>
          <w:color w:val="000000"/>
          <w:kern w:val="0"/>
          <w14:ligatures w14:val="none"/>
        </w:rPr>
      </w:pPr>
      <w:r w:rsidRPr="00E53A76">
        <w:rPr>
          <w:rFonts w:ascii="Times New Roman" w:eastAsia="Times New Roman" w:hAnsi="Times New Roman" w:cs="Times New Roman"/>
          <w:b/>
          <w:bCs/>
          <w:color w:val="000000"/>
          <w:kern w:val="0"/>
          <w14:ligatures w14:val="none"/>
        </w:rPr>
        <w:t>2.4</w:t>
      </w:r>
      <w:r w:rsidR="0053198A" w:rsidRPr="00E53A76">
        <w:rPr>
          <w:rFonts w:ascii="Times New Roman" w:eastAsia="Times New Roman" w:hAnsi="Times New Roman" w:cs="Times New Roman"/>
          <w:b/>
          <w:bCs/>
          <w:color w:val="000000"/>
          <w:kern w:val="0"/>
          <w14:ligatures w14:val="none"/>
        </w:rPr>
        <w:t>: A faculty member may apply for early tenure and promotion consideration, provided the tenure-track faculty member has successfully completed the fourth-year tenure and promotion review and has a minimum of two (2) consecutive years of employment at A&amp;M-Commerce.”</w:t>
      </w:r>
    </w:p>
    <w:p w14:paraId="3DD38555" w14:textId="74B8860B" w:rsidR="0038122B" w:rsidRPr="00E53A76" w:rsidRDefault="0038122B" w:rsidP="0053198A">
      <w:pPr>
        <w:pStyle w:val="ListParagraph"/>
        <w:shd w:val="clear" w:color="auto" w:fill="FFFFFF"/>
        <w:spacing w:after="0" w:line="240" w:lineRule="auto"/>
        <w:rPr>
          <w:rFonts w:ascii="Times New Roman" w:eastAsia="Times New Roman" w:hAnsi="Times New Roman" w:cs="Times New Roman"/>
          <w:color w:val="212121"/>
          <w:kern w:val="0"/>
          <w:sz w:val="23"/>
          <w:szCs w:val="23"/>
          <w14:ligatures w14:val="none"/>
        </w:rPr>
      </w:pPr>
      <w:r w:rsidRPr="00E53A76">
        <w:rPr>
          <w:rFonts w:ascii="Times New Roman" w:eastAsia="Times New Roman" w:hAnsi="Times New Roman" w:cs="Times New Roman"/>
          <w:b/>
          <w:bCs/>
          <w:color w:val="000000"/>
          <w:kern w:val="0"/>
          <w14:ligatures w14:val="none"/>
        </w:rPr>
        <w:t>Limitation on Early Tenure Application</w:t>
      </w:r>
    </w:p>
    <w:p w14:paraId="76AED01D" w14:textId="480B100E" w:rsidR="0038122B" w:rsidRPr="00E53A76" w:rsidRDefault="0038122B" w:rsidP="0038122B">
      <w:pPr>
        <w:pStyle w:val="ListParagraph"/>
        <w:shd w:val="clear" w:color="auto" w:fill="FFFFFF"/>
        <w:spacing w:after="0" w:line="240" w:lineRule="auto"/>
        <w:rPr>
          <w:rFonts w:ascii="Times New Roman" w:eastAsia="Times New Roman" w:hAnsi="Times New Roman" w:cs="Times New Roman"/>
          <w:color w:val="212121"/>
          <w:kern w:val="0"/>
          <w:sz w:val="23"/>
          <w:szCs w:val="23"/>
          <w14:ligatures w14:val="none"/>
        </w:rPr>
      </w:pPr>
      <w:r w:rsidRPr="00E53A76">
        <w:rPr>
          <w:rFonts w:ascii="Times New Roman" w:eastAsia="Times New Roman" w:hAnsi="Times New Roman" w:cs="Times New Roman"/>
          <w:color w:val="000000"/>
          <w:kern w:val="0"/>
          <w14:ligatures w14:val="none"/>
        </w:rPr>
        <w:t xml:space="preserve">“I disagree with the newly added requirement stipulating that a tenure-track faculty member must successfully complete the fourth-year tenure and promotion review before applying for early tenure. This requirement limits the potential for early tenure by restricting it to just one year earlier than the standard timeline, even for faculty members who have made substantial contributions across teaching, research, and service. This change is inequitable for those who have worked diligently with the goal of pursuing early tenure two years in advance. When I was hired, my understanding of the T&amp;P document was that achieving tenure two years earlier was a possibility based on exceptional performance. The new stipulation undermines the original opportunities for early promotion and is unfair to high-achieving faculty.” </w:t>
      </w:r>
    </w:p>
    <w:p w14:paraId="5A7B65A2" w14:textId="06FB6595" w:rsidR="004B3F33" w:rsidRPr="00E53A76" w:rsidRDefault="00DD2DF0" w:rsidP="004B3F33">
      <w:pPr>
        <w:pStyle w:val="ListParagraph"/>
        <w:numPr>
          <w:ilvl w:val="0"/>
          <w:numId w:val="1"/>
        </w:numPr>
        <w:rPr>
          <w:rFonts w:ascii="Times New Roman" w:hAnsi="Times New Roman" w:cs="Times New Roman"/>
          <w:u w:val="single"/>
        </w:rPr>
      </w:pPr>
      <w:r w:rsidRPr="00E53A76">
        <w:rPr>
          <w:rFonts w:ascii="Times New Roman" w:hAnsi="Times New Roman" w:cs="Times New Roman"/>
        </w:rPr>
        <w:t xml:space="preserve">2.4 “Individuals seeking early tenure and promotion consideration must demonstrate </w:t>
      </w:r>
      <w:r w:rsidRPr="00E53A76">
        <w:rPr>
          <w:rFonts w:ascii="Times New Roman" w:hAnsi="Times New Roman" w:cs="Times New Roman"/>
          <w:b/>
          <w:bCs/>
          <w:u w:val="single"/>
        </w:rPr>
        <w:t>significantly higher levels</w:t>
      </w:r>
      <w:r w:rsidRPr="00E53A76">
        <w:rPr>
          <w:rFonts w:ascii="Times New Roman" w:hAnsi="Times New Roman" w:cs="Times New Roman"/>
        </w:rPr>
        <w:t xml:space="preserve"> in Teaching/Contributions to Student Learning; Research, Scholarly, and Creative Activities; and Service for tenure</w:t>
      </w:r>
      <w:r w:rsidR="00602221" w:rsidRPr="00E53A76">
        <w:rPr>
          <w:rFonts w:ascii="Times New Roman" w:hAnsi="Times New Roman" w:cs="Times New Roman"/>
        </w:rPr>
        <w:t>” Older version: 1.4 “</w:t>
      </w:r>
      <w:r w:rsidR="004B3F33" w:rsidRPr="00E53A76">
        <w:rPr>
          <w:rFonts w:ascii="Times New Roman" w:hAnsi="Times New Roman" w:cs="Times New Roman"/>
        </w:rPr>
        <w:t xml:space="preserve">individuals seeking early consideration must demonstrate </w:t>
      </w:r>
      <w:r w:rsidR="004B3F33" w:rsidRPr="00E53A76">
        <w:rPr>
          <w:rFonts w:ascii="Times New Roman" w:hAnsi="Times New Roman" w:cs="Times New Roman"/>
          <w:b/>
          <w:bCs/>
        </w:rPr>
        <w:t xml:space="preserve">significantly </w:t>
      </w:r>
      <w:r w:rsidR="004B3F33" w:rsidRPr="00E53A76">
        <w:rPr>
          <w:rFonts w:ascii="Times New Roman" w:hAnsi="Times New Roman" w:cs="Times New Roman"/>
          <w:b/>
          <w:bCs/>
          <w:u w:val="single"/>
        </w:rPr>
        <w:t>higher levels of achievement</w:t>
      </w:r>
      <w:r w:rsidR="004B3F33" w:rsidRPr="00E53A76">
        <w:rPr>
          <w:rFonts w:ascii="Times New Roman" w:hAnsi="Times New Roman" w:cs="Times New Roman"/>
        </w:rPr>
        <w:t xml:space="preserve"> in Teaching/Contributions to Student Learning; Research, Scholarly, and Creative Activities; and Service </w:t>
      </w:r>
      <w:r w:rsidR="004B3F33" w:rsidRPr="00E53A76">
        <w:rPr>
          <w:rFonts w:ascii="Times New Roman" w:hAnsi="Times New Roman" w:cs="Times New Roman"/>
          <w:b/>
          <w:bCs/>
          <w:u w:val="single"/>
        </w:rPr>
        <w:t>than the minimum standard for tenure</w:t>
      </w:r>
      <w:r w:rsidR="004B3F33" w:rsidRPr="00E53A76">
        <w:rPr>
          <w:rFonts w:ascii="Times New Roman" w:hAnsi="Times New Roman" w:cs="Times New Roman"/>
          <w:u w:val="single"/>
        </w:rPr>
        <w:t xml:space="preserve">” </w:t>
      </w:r>
    </w:p>
    <w:p w14:paraId="1602250F" w14:textId="5C7CD0BF" w:rsidR="009018AC" w:rsidRPr="00E53A76" w:rsidRDefault="009018AC" w:rsidP="009018AC">
      <w:pPr>
        <w:pStyle w:val="ListParagraph"/>
        <w:rPr>
          <w:rFonts w:ascii="Times New Roman" w:hAnsi="Times New Roman" w:cs="Times New Roman"/>
          <w:u w:val="single"/>
        </w:rPr>
      </w:pPr>
      <w:r w:rsidRPr="00E53A76">
        <w:rPr>
          <w:rFonts w:ascii="Times New Roman" w:hAnsi="Times New Roman" w:cs="Times New Roman"/>
        </w:rPr>
        <w:t>“</w:t>
      </w:r>
      <w:proofErr w:type="gramStart"/>
      <w:r w:rsidRPr="00E53A76">
        <w:rPr>
          <w:rFonts w:ascii="Times New Roman" w:hAnsi="Times New Roman" w:cs="Times New Roman"/>
        </w:rPr>
        <w:t>the</w:t>
      </w:r>
      <w:proofErr w:type="gramEnd"/>
      <w:r w:rsidRPr="00E53A76">
        <w:rPr>
          <w:rFonts w:ascii="Times New Roman" w:hAnsi="Times New Roman" w:cs="Times New Roman"/>
        </w:rPr>
        <w:t xml:space="preserve"> definition of “significantly higher levels” is ambiguous. The previous T&amp;P document used clearer language, and the new phrasing raises several questions: What constitutes “significantly higher levels”? Does this mean exceeding expectations or significantly exceeding expectations? Must faculty members meet this criterion in all three categories, and for all years under review?</w:t>
      </w:r>
    </w:p>
    <w:p w14:paraId="0C311EA6" w14:textId="7784ED5C" w:rsidR="000670B6" w:rsidRPr="00E53A76" w:rsidRDefault="00BE351F" w:rsidP="000670B6">
      <w:pPr>
        <w:pStyle w:val="ListParagraph"/>
        <w:numPr>
          <w:ilvl w:val="0"/>
          <w:numId w:val="1"/>
        </w:numPr>
        <w:rPr>
          <w:rFonts w:ascii="Times New Roman" w:hAnsi="Times New Roman" w:cs="Times New Roman"/>
        </w:rPr>
      </w:pPr>
      <w:r w:rsidRPr="00E53A76">
        <w:rPr>
          <w:rFonts w:ascii="Times New Roman" w:hAnsi="Times New Roman" w:cs="Times New Roman"/>
        </w:rPr>
        <w:t xml:space="preserve">2.4 </w:t>
      </w:r>
      <w:proofErr w:type="gramStart"/>
      <w:r w:rsidR="00004334" w:rsidRPr="00E53A76">
        <w:rPr>
          <w:rFonts w:ascii="Times New Roman" w:hAnsi="Times New Roman" w:cs="Times New Roman"/>
        </w:rPr>
        <w:t>“ If</w:t>
      </w:r>
      <w:proofErr w:type="gramEnd"/>
      <w:r w:rsidR="00004334" w:rsidRPr="00E53A76">
        <w:rPr>
          <w:rFonts w:ascii="Times New Roman" w:hAnsi="Times New Roman" w:cs="Times New Roman"/>
        </w:rPr>
        <w:t xml:space="preserve"> a faculty member is denied early tenure, the faculty member will not be allowed another opportunity for application and must be provided a letter of non-reappointment </w:t>
      </w:r>
      <w:r w:rsidR="00004334" w:rsidRPr="00E53A76">
        <w:rPr>
          <w:rFonts w:ascii="Times New Roman" w:hAnsi="Times New Roman" w:cs="Times New Roman"/>
        </w:rPr>
        <w:lastRenderedPageBreak/>
        <w:t>that complies with the criteria in University Procedure 12.01.99.R1.” Older version 1.4 “</w:t>
      </w:r>
      <w:r w:rsidR="000670B6" w:rsidRPr="00E53A76">
        <w:rPr>
          <w:rFonts w:ascii="Times New Roman" w:hAnsi="Times New Roman" w:cs="Times New Roman"/>
        </w:rPr>
        <w:t xml:space="preserve">If a faculty member is denied tenure a second time, the faculty member will not be allowed another opportunity for application. </w:t>
      </w:r>
    </w:p>
    <w:p w14:paraId="437D6A98" w14:textId="77777777" w:rsidR="00444B49" w:rsidRPr="00E53A76" w:rsidRDefault="00444B49" w:rsidP="00444B49">
      <w:pPr>
        <w:pStyle w:val="ListParagraph"/>
        <w:shd w:val="clear" w:color="auto" w:fill="FFFFFF"/>
        <w:spacing w:after="0" w:line="240" w:lineRule="auto"/>
        <w:rPr>
          <w:rFonts w:ascii="Times New Roman" w:eastAsia="Times New Roman" w:hAnsi="Times New Roman" w:cs="Times New Roman"/>
          <w:color w:val="212121"/>
          <w:kern w:val="0"/>
          <w:sz w:val="23"/>
          <w:szCs w:val="23"/>
          <w14:ligatures w14:val="none"/>
        </w:rPr>
      </w:pPr>
      <w:r w:rsidRPr="00E53A76">
        <w:rPr>
          <w:rFonts w:ascii="Times New Roman" w:eastAsia="Times New Roman" w:hAnsi="Times New Roman" w:cs="Times New Roman"/>
          <w:b/>
          <w:bCs/>
          <w:color w:val="000000"/>
          <w:kern w:val="0"/>
          <w14:ligatures w14:val="none"/>
        </w:rPr>
        <w:t>Restriction on Early Tenure Application Attempts</w:t>
      </w:r>
    </w:p>
    <w:p w14:paraId="228D0BD4" w14:textId="63B7CE71" w:rsidR="00004334" w:rsidRPr="00E53A76" w:rsidRDefault="00444B49" w:rsidP="00377224">
      <w:pPr>
        <w:pStyle w:val="ListParagraph"/>
        <w:shd w:val="clear" w:color="auto" w:fill="FFFFFF"/>
        <w:spacing w:after="0" w:line="240" w:lineRule="auto"/>
        <w:rPr>
          <w:rFonts w:ascii="Times New Roman" w:eastAsia="Times New Roman" w:hAnsi="Times New Roman" w:cs="Times New Roman"/>
          <w:color w:val="212121"/>
          <w:kern w:val="0"/>
          <w:sz w:val="23"/>
          <w:szCs w:val="23"/>
          <w14:ligatures w14:val="none"/>
        </w:rPr>
      </w:pPr>
      <w:r w:rsidRPr="00E53A76">
        <w:rPr>
          <w:rFonts w:ascii="Times New Roman" w:eastAsia="Times New Roman" w:hAnsi="Times New Roman" w:cs="Times New Roman"/>
          <w:color w:val="000000"/>
          <w:kern w:val="0"/>
          <w14:ligatures w14:val="none"/>
        </w:rPr>
        <w:t>The original T&amp;P policy allowed faculty members two opportunities: one for early tenure and a second for the regularly scheduled tenure application. It stated: “If a faculty member is denied tenure a second time, the faculty member will not be allowed another opportunity for application.” In contrast, the new policy allows only a single attempt at early tenure, and if that attempt is denied, the faculty member is not permitted to apply for tenure again during the scheduled timeline. The policy reads: “If a faculty member is denied early tenure, the faculty member will not be allowed another opportunity for application and must be provided a letter of non-reappointment that complies with the criteria in University Procedure 12.01.99.R1.” This change serves as a significant deterrent for tenure-track faculty from considering early tenure, as it imposes a severe consequence for taking the risk of an early application. It discourages faculty from applying early even when they have demonstrated high levels of achievement</w:t>
      </w:r>
      <w:r w:rsidR="00377224" w:rsidRPr="00E53A76">
        <w:rPr>
          <w:rFonts w:ascii="Times New Roman" w:eastAsia="Times New Roman" w:hAnsi="Times New Roman" w:cs="Times New Roman"/>
          <w:color w:val="000000"/>
          <w:kern w:val="0"/>
          <w14:ligatures w14:val="none"/>
        </w:rPr>
        <w:t xml:space="preserve">. </w:t>
      </w:r>
    </w:p>
    <w:p w14:paraId="304B394E" w14:textId="180B7938" w:rsidR="00DD2DF0" w:rsidRPr="00E53A76" w:rsidRDefault="00DD2DF0" w:rsidP="00444B49">
      <w:pPr>
        <w:pStyle w:val="ListParagraph"/>
        <w:rPr>
          <w:rFonts w:ascii="Times New Roman" w:hAnsi="Times New Roman" w:cs="Times New Roman"/>
        </w:rPr>
      </w:pPr>
    </w:p>
    <w:p w14:paraId="6D06BCF1" w14:textId="2C13E735" w:rsidR="00A26905" w:rsidRPr="00E53A76" w:rsidRDefault="00A26905" w:rsidP="00E53A76">
      <w:pPr>
        <w:pStyle w:val="ListParagraph"/>
        <w:numPr>
          <w:ilvl w:val="0"/>
          <w:numId w:val="1"/>
        </w:numPr>
        <w:rPr>
          <w:rFonts w:ascii="Times New Roman" w:hAnsi="Times New Roman" w:cs="Times New Roman"/>
        </w:rPr>
      </w:pPr>
      <w:r w:rsidRPr="00A26905">
        <w:rPr>
          <w:rFonts w:ascii="Times New Roman" w:hAnsi="Times New Roman" w:cs="Times New Roman"/>
        </w:rPr>
        <w:t>I think a formal review in the 4th year is too late for those who are needing remediation/action to get on track for their tenure review.  I prefer for it to be in the 3rd year.</w:t>
      </w:r>
    </w:p>
    <w:p w14:paraId="1A400713" w14:textId="4B838D8B" w:rsidR="00A26905" w:rsidRPr="00E53A76" w:rsidRDefault="00A26905" w:rsidP="00E53A76">
      <w:pPr>
        <w:pStyle w:val="ListParagraph"/>
        <w:numPr>
          <w:ilvl w:val="0"/>
          <w:numId w:val="1"/>
        </w:numPr>
        <w:rPr>
          <w:rFonts w:ascii="Times New Roman" w:hAnsi="Times New Roman" w:cs="Times New Roman"/>
        </w:rPr>
      </w:pPr>
      <w:r w:rsidRPr="00A26905">
        <w:rPr>
          <w:rFonts w:ascii="Times New Roman" w:hAnsi="Times New Roman" w:cs="Times New Roman"/>
        </w:rPr>
        <w:t xml:space="preserve">2) If I read it correctly, it seems like faculty going up for </w:t>
      </w:r>
      <w:proofErr w:type="spellStart"/>
      <w:r w:rsidRPr="00A26905">
        <w:rPr>
          <w:rFonts w:ascii="Times New Roman" w:hAnsi="Times New Roman" w:cs="Times New Roman"/>
        </w:rPr>
        <w:t>tenure</w:t>
      </w:r>
      <w:proofErr w:type="spellEnd"/>
      <w:r w:rsidRPr="00A26905">
        <w:rPr>
          <w:rFonts w:ascii="Times New Roman" w:hAnsi="Times New Roman" w:cs="Times New Roman"/>
        </w:rPr>
        <w:t xml:space="preserve"> faculty need three external letters.  This seems like a lot.  Perhaps have one external and the person going up for tenure can seek two other external letters from people they know.</w:t>
      </w:r>
    </w:p>
    <w:p w14:paraId="255C20E5" w14:textId="77777777" w:rsidR="00A26905" w:rsidRPr="00A26905" w:rsidRDefault="00A26905" w:rsidP="00A26905">
      <w:pPr>
        <w:pStyle w:val="ListParagraph"/>
        <w:numPr>
          <w:ilvl w:val="0"/>
          <w:numId w:val="1"/>
        </w:numPr>
        <w:rPr>
          <w:rFonts w:ascii="Times New Roman" w:hAnsi="Times New Roman" w:cs="Times New Roman"/>
        </w:rPr>
      </w:pPr>
      <w:r w:rsidRPr="00A26905">
        <w:rPr>
          <w:rFonts w:ascii="Times New Roman" w:hAnsi="Times New Roman" w:cs="Times New Roman"/>
        </w:rPr>
        <w:t xml:space="preserve">3) 6.1.4.  The significant administrative appointments </w:t>
      </w:r>
      <w:proofErr w:type="gramStart"/>
      <w:r w:rsidRPr="00A26905">
        <w:rPr>
          <w:rFonts w:ascii="Times New Roman" w:hAnsi="Times New Roman" w:cs="Times New Roman"/>
        </w:rPr>
        <w:t>is</w:t>
      </w:r>
      <w:proofErr w:type="gramEnd"/>
      <w:r w:rsidRPr="00A26905">
        <w:rPr>
          <w:rFonts w:ascii="Times New Roman" w:hAnsi="Times New Roman" w:cs="Times New Roman"/>
        </w:rPr>
        <w:t xml:space="preserve"> unclear.  How is that going to be defined?</w:t>
      </w:r>
    </w:p>
    <w:p w14:paraId="29AB9641" w14:textId="50E23309" w:rsidR="00375CF7" w:rsidRPr="00E53A76" w:rsidRDefault="00375CF7" w:rsidP="00E53A76">
      <w:pPr>
        <w:pStyle w:val="ListParagraph"/>
        <w:rPr>
          <w:rFonts w:ascii="Times New Roman" w:hAnsi="Times New Roman" w:cs="Times New Roman"/>
        </w:rPr>
      </w:pPr>
    </w:p>
    <w:sectPr w:rsidR="00375CF7" w:rsidRPr="00E53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77DCF"/>
    <w:multiLevelType w:val="hybridMultilevel"/>
    <w:tmpl w:val="ED1E2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913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7B8"/>
    <w:rsid w:val="00004334"/>
    <w:rsid w:val="00055F56"/>
    <w:rsid w:val="000670B6"/>
    <w:rsid w:val="000C7922"/>
    <w:rsid w:val="000F5304"/>
    <w:rsid w:val="00190BEB"/>
    <w:rsid w:val="00203F6C"/>
    <w:rsid w:val="00234724"/>
    <w:rsid w:val="00235386"/>
    <w:rsid w:val="00375CF7"/>
    <w:rsid w:val="00377224"/>
    <w:rsid w:val="0038122B"/>
    <w:rsid w:val="003D5169"/>
    <w:rsid w:val="00410A63"/>
    <w:rsid w:val="004307B8"/>
    <w:rsid w:val="00444B49"/>
    <w:rsid w:val="004B3F33"/>
    <w:rsid w:val="005261A7"/>
    <w:rsid w:val="0053198A"/>
    <w:rsid w:val="00602221"/>
    <w:rsid w:val="008C6F01"/>
    <w:rsid w:val="009018AC"/>
    <w:rsid w:val="00A26905"/>
    <w:rsid w:val="00A84534"/>
    <w:rsid w:val="00AE6665"/>
    <w:rsid w:val="00BB5432"/>
    <w:rsid w:val="00BE351F"/>
    <w:rsid w:val="00D802A4"/>
    <w:rsid w:val="00DD2DF0"/>
    <w:rsid w:val="00E53A76"/>
    <w:rsid w:val="00F8158A"/>
    <w:rsid w:val="00FB3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48E299"/>
  <w15:chartTrackingRefBased/>
  <w15:docId w15:val="{2398D159-3F32-4B42-8BD0-849FD898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0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0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07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07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07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07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07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07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07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0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07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07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07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07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07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07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07B8"/>
    <w:rPr>
      <w:rFonts w:eastAsiaTheme="majorEastAsia" w:cstheme="majorBidi"/>
      <w:color w:val="272727" w:themeColor="text1" w:themeTint="D8"/>
    </w:rPr>
  </w:style>
  <w:style w:type="paragraph" w:styleId="Title">
    <w:name w:val="Title"/>
    <w:basedOn w:val="Normal"/>
    <w:next w:val="Normal"/>
    <w:link w:val="TitleChar"/>
    <w:uiPriority w:val="10"/>
    <w:qFormat/>
    <w:rsid w:val="004307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0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07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07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07B8"/>
    <w:pPr>
      <w:spacing w:before="160"/>
      <w:jc w:val="center"/>
    </w:pPr>
    <w:rPr>
      <w:i/>
      <w:iCs/>
      <w:color w:val="404040" w:themeColor="text1" w:themeTint="BF"/>
    </w:rPr>
  </w:style>
  <w:style w:type="character" w:customStyle="1" w:styleId="QuoteChar">
    <w:name w:val="Quote Char"/>
    <w:basedOn w:val="DefaultParagraphFont"/>
    <w:link w:val="Quote"/>
    <w:uiPriority w:val="29"/>
    <w:rsid w:val="004307B8"/>
    <w:rPr>
      <w:i/>
      <w:iCs/>
      <w:color w:val="404040" w:themeColor="text1" w:themeTint="BF"/>
    </w:rPr>
  </w:style>
  <w:style w:type="paragraph" w:styleId="ListParagraph">
    <w:name w:val="List Paragraph"/>
    <w:basedOn w:val="Normal"/>
    <w:uiPriority w:val="34"/>
    <w:qFormat/>
    <w:rsid w:val="004307B8"/>
    <w:pPr>
      <w:ind w:left="720"/>
      <w:contextualSpacing/>
    </w:pPr>
  </w:style>
  <w:style w:type="character" w:styleId="IntenseEmphasis">
    <w:name w:val="Intense Emphasis"/>
    <w:basedOn w:val="DefaultParagraphFont"/>
    <w:uiPriority w:val="21"/>
    <w:qFormat/>
    <w:rsid w:val="004307B8"/>
    <w:rPr>
      <w:i/>
      <w:iCs/>
      <w:color w:val="0F4761" w:themeColor="accent1" w:themeShade="BF"/>
    </w:rPr>
  </w:style>
  <w:style w:type="paragraph" w:styleId="IntenseQuote">
    <w:name w:val="Intense Quote"/>
    <w:basedOn w:val="Normal"/>
    <w:next w:val="Normal"/>
    <w:link w:val="IntenseQuoteChar"/>
    <w:uiPriority w:val="30"/>
    <w:qFormat/>
    <w:rsid w:val="00430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07B8"/>
    <w:rPr>
      <w:i/>
      <w:iCs/>
      <w:color w:val="0F4761" w:themeColor="accent1" w:themeShade="BF"/>
    </w:rPr>
  </w:style>
  <w:style w:type="character" w:styleId="IntenseReference">
    <w:name w:val="Intense Reference"/>
    <w:basedOn w:val="DefaultParagraphFont"/>
    <w:uiPriority w:val="32"/>
    <w:qFormat/>
    <w:rsid w:val="004307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598710">
      <w:bodyDiv w:val="1"/>
      <w:marLeft w:val="0"/>
      <w:marRight w:val="0"/>
      <w:marTop w:val="0"/>
      <w:marBottom w:val="0"/>
      <w:divBdr>
        <w:top w:val="none" w:sz="0" w:space="0" w:color="auto"/>
        <w:left w:val="none" w:sz="0" w:space="0" w:color="auto"/>
        <w:bottom w:val="none" w:sz="0" w:space="0" w:color="auto"/>
        <w:right w:val="none" w:sz="0" w:space="0" w:color="auto"/>
      </w:divBdr>
      <w:divsChild>
        <w:div w:id="898058737">
          <w:marLeft w:val="0"/>
          <w:marRight w:val="0"/>
          <w:marTop w:val="0"/>
          <w:marBottom w:val="0"/>
          <w:divBdr>
            <w:top w:val="none" w:sz="0" w:space="0" w:color="auto"/>
            <w:left w:val="none" w:sz="0" w:space="0" w:color="auto"/>
            <w:bottom w:val="none" w:sz="0" w:space="0" w:color="auto"/>
            <w:right w:val="none" w:sz="0" w:space="0" w:color="auto"/>
          </w:divBdr>
        </w:div>
        <w:div w:id="789671187">
          <w:marLeft w:val="0"/>
          <w:marRight w:val="0"/>
          <w:marTop w:val="0"/>
          <w:marBottom w:val="0"/>
          <w:divBdr>
            <w:top w:val="none" w:sz="0" w:space="0" w:color="auto"/>
            <w:left w:val="none" w:sz="0" w:space="0" w:color="auto"/>
            <w:bottom w:val="none" w:sz="0" w:space="0" w:color="auto"/>
            <w:right w:val="none" w:sz="0" w:space="0" w:color="auto"/>
          </w:divBdr>
        </w:div>
      </w:divsChild>
    </w:div>
    <w:div w:id="770053616">
      <w:bodyDiv w:val="1"/>
      <w:marLeft w:val="0"/>
      <w:marRight w:val="0"/>
      <w:marTop w:val="0"/>
      <w:marBottom w:val="0"/>
      <w:divBdr>
        <w:top w:val="none" w:sz="0" w:space="0" w:color="auto"/>
        <w:left w:val="none" w:sz="0" w:space="0" w:color="auto"/>
        <w:bottom w:val="none" w:sz="0" w:space="0" w:color="auto"/>
        <w:right w:val="none" w:sz="0" w:space="0" w:color="auto"/>
      </w:divBdr>
    </w:div>
    <w:div w:id="774374330">
      <w:bodyDiv w:val="1"/>
      <w:marLeft w:val="0"/>
      <w:marRight w:val="0"/>
      <w:marTop w:val="0"/>
      <w:marBottom w:val="0"/>
      <w:divBdr>
        <w:top w:val="none" w:sz="0" w:space="0" w:color="auto"/>
        <w:left w:val="none" w:sz="0" w:space="0" w:color="auto"/>
        <w:bottom w:val="none" w:sz="0" w:space="0" w:color="auto"/>
        <w:right w:val="none" w:sz="0" w:space="0" w:color="auto"/>
      </w:divBdr>
    </w:div>
    <w:div w:id="1158224967">
      <w:bodyDiv w:val="1"/>
      <w:marLeft w:val="0"/>
      <w:marRight w:val="0"/>
      <w:marTop w:val="0"/>
      <w:marBottom w:val="0"/>
      <w:divBdr>
        <w:top w:val="none" w:sz="0" w:space="0" w:color="auto"/>
        <w:left w:val="none" w:sz="0" w:space="0" w:color="auto"/>
        <w:bottom w:val="none" w:sz="0" w:space="0" w:color="auto"/>
        <w:right w:val="none" w:sz="0" w:space="0" w:color="auto"/>
      </w:divBdr>
      <w:divsChild>
        <w:div w:id="1418557556">
          <w:marLeft w:val="0"/>
          <w:marRight w:val="0"/>
          <w:marTop w:val="0"/>
          <w:marBottom w:val="0"/>
          <w:divBdr>
            <w:top w:val="none" w:sz="0" w:space="0" w:color="auto"/>
            <w:left w:val="none" w:sz="0" w:space="0" w:color="auto"/>
            <w:bottom w:val="none" w:sz="0" w:space="0" w:color="auto"/>
            <w:right w:val="none" w:sz="0" w:space="0" w:color="auto"/>
          </w:divBdr>
        </w:div>
        <w:div w:id="898832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 Jiang</dc:creator>
  <cp:keywords/>
  <dc:description/>
  <cp:lastModifiedBy>Mei Jiang</cp:lastModifiedBy>
  <cp:revision>26</cp:revision>
  <dcterms:created xsi:type="dcterms:W3CDTF">2024-11-07T21:43:00Z</dcterms:created>
  <dcterms:modified xsi:type="dcterms:W3CDTF">2024-11-15T14:43:00Z</dcterms:modified>
</cp:coreProperties>
</file>