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E60668" w14:textId="6BB756AB" w:rsidR="00697334" w:rsidRPr="009E40E2" w:rsidRDefault="00697334" w:rsidP="00697334">
      <w:pPr>
        <w:pBdr>
          <w:bottom w:val="single" w:sz="6" w:space="1" w:color="auto"/>
        </w:pBdr>
        <w:rPr>
          <w:rFonts w:ascii="Times New Roman" w:hAnsi="Times New Roman" w:cs="Times New Roman"/>
        </w:rPr>
      </w:pPr>
      <w:r w:rsidRPr="009E40E2">
        <w:rPr>
          <w:rFonts w:ascii="Times New Roman" w:hAnsi="Times New Roman" w:cs="Times New Roman"/>
        </w:rPr>
        <w:t>Comments from multiple departments about the proposed T&amp;P Committee</w:t>
      </w:r>
    </w:p>
    <w:p w14:paraId="4AAB2F66" w14:textId="77777777" w:rsidR="00697334" w:rsidRPr="009E40E2" w:rsidRDefault="00697334" w:rsidP="00697334">
      <w:pPr>
        <w:pBdr>
          <w:bottom w:val="single" w:sz="6" w:space="1" w:color="auto"/>
        </w:pBdr>
        <w:rPr>
          <w:rFonts w:ascii="Times New Roman" w:hAnsi="Times New Roman" w:cs="Times New Roman"/>
        </w:rPr>
      </w:pPr>
    </w:p>
    <w:p w14:paraId="73DDC4CB" w14:textId="77777777" w:rsidR="00697334" w:rsidRPr="009E40E2" w:rsidRDefault="00697334" w:rsidP="00697334">
      <w:pPr>
        <w:rPr>
          <w:rFonts w:ascii="Times New Roman" w:hAnsi="Times New Roman" w:cs="Times New Roman"/>
        </w:rPr>
      </w:pPr>
    </w:p>
    <w:p w14:paraId="16272012" w14:textId="1E9069F6" w:rsidR="00697334" w:rsidRPr="00697334" w:rsidRDefault="00697334" w:rsidP="00697334">
      <w:pPr>
        <w:rPr>
          <w:rFonts w:ascii="Times New Roman" w:hAnsi="Times New Roman" w:cs="Times New Roman"/>
        </w:rPr>
      </w:pPr>
      <w:r w:rsidRPr="00697334">
        <w:rPr>
          <w:rFonts w:ascii="Times New Roman" w:hAnsi="Times New Roman" w:cs="Times New Roman"/>
        </w:rPr>
        <w:t>Sec. 2.1 – I do not understand why the rank of “professor” is not included “to be eligible to receive tenure.” Note that Sec. 3.4 discusses the hiring of a professor without tenure upon initial appointment; thus, a full professor should be listed “as eligible to receive tenure” in Sec. 2.1.</w:t>
      </w:r>
    </w:p>
    <w:p w14:paraId="58A0D68F" w14:textId="77777777" w:rsidR="00697334" w:rsidRPr="009E40E2" w:rsidRDefault="00697334" w:rsidP="00697334">
      <w:pPr>
        <w:rPr>
          <w:rFonts w:ascii="Times New Roman" w:hAnsi="Times New Roman" w:cs="Times New Roman"/>
        </w:rPr>
      </w:pPr>
    </w:p>
    <w:p w14:paraId="760622B6" w14:textId="1DD39250" w:rsidR="00697334" w:rsidRPr="00697334" w:rsidRDefault="00697334" w:rsidP="00697334">
      <w:pPr>
        <w:rPr>
          <w:rFonts w:ascii="Times New Roman" w:hAnsi="Times New Roman" w:cs="Times New Roman"/>
        </w:rPr>
      </w:pPr>
      <w:r w:rsidRPr="00697334">
        <w:rPr>
          <w:rFonts w:ascii="Times New Roman" w:hAnsi="Times New Roman" w:cs="Times New Roman"/>
        </w:rPr>
        <w:t>Sec. 2.3 – As there are tenured assistant professors at some universities, the first sentence could simply read “Tenured professors at any rank from ….”</w:t>
      </w:r>
    </w:p>
    <w:p w14:paraId="0F939856" w14:textId="77777777" w:rsidR="00697334" w:rsidRPr="009E40E2" w:rsidRDefault="00697334" w:rsidP="00697334">
      <w:pPr>
        <w:rPr>
          <w:rFonts w:ascii="Times New Roman" w:hAnsi="Times New Roman" w:cs="Times New Roman"/>
        </w:rPr>
      </w:pPr>
    </w:p>
    <w:p w14:paraId="646E8797" w14:textId="2D542170" w:rsidR="00697334" w:rsidRPr="00697334" w:rsidRDefault="00697334" w:rsidP="00697334">
      <w:pPr>
        <w:rPr>
          <w:rFonts w:ascii="Times New Roman" w:hAnsi="Times New Roman" w:cs="Times New Roman"/>
        </w:rPr>
      </w:pPr>
      <w:r w:rsidRPr="00697334">
        <w:rPr>
          <w:rFonts w:ascii="Times New Roman" w:hAnsi="Times New Roman" w:cs="Times New Roman"/>
        </w:rPr>
        <w:t>Sec. 3.5 – The second and third sentences seem to suggest that Section 4 Evaluation of Progress Toward Tenure of the annual performance evaluation form is only completed in years “one, two, three, and five”; isn’t this section completed every year (i.e., even in year four)? </w:t>
      </w:r>
    </w:p>
    <w:p w14:paraId="5BD4C35D" w14:textId="77777777" w:rsidR="00697334" w:rsidRPr="009E40E2" w:rsidRDefault="00697334" w:rsidP="00697334">
      <w:pPr>
        <w:rPr>
          <w:rFonts w:ascii="Times New Roman" w:hAnsi="Times New Roman" w:cs="Times New Roman"/>
        </w:rPr>
      </w:pPr>
    </w:p>
    <w:p w14:paraId="7F54A636" w14:textId="2C47DC22" w:rsidR="00697334" w:rsidRPr="00697334" w:rsidRDefault="00697334" w:rsidP="00697334">
      <w:pPr>
        <w:rPr>
          <w:rFonts w:ascii="Times New Roman" w:hAnsi="Times New Roman" w:cs="Times New Roman"/>
        </w:rPr>
      </w:pPr>
      <w:r w:rsidRPr="00697334">
        <w:rPr>
          <w:rFonts w:ascii="Times New Roman" w:hAnsi="Times New Roman" w:cs="Times New Roman"/>
        </w:rPr>
        <w:t>Sec. 6.1.3 – (a) What is meant by a “personal relationship”? I think this language is ambiguous and, thus, problematic. (b) It would be helpful if the role of the external reviewer was more explicit; that is, will they be asked to make a tenure and/or promotion recommendation </w:t>
      </w:r>
      <w:r w:rsidRPr="00697334">
        <w:rPr>
          <w:rFonts w:ascii="Times New Roman" w:hAnsi="Times New Roman" w:cs="Times New Roman"/>
          <w:i/>
          <w:iCs/>
        </w:rPr>
        <w:t>based upon the departmental guidelines</w:t>
      </w:r>
      <w:r w:rsidRPr="00697334">
        <w:rPr>
          <w:rFonts w:ascii="Times New Roman" w:hAnsi="Times New Roman" w:cs="Times New Roman"/>
        </w:rPr>
        <w:t xml:space="preserve"> rather than their own notions of satisfactory performance? (I have been an external reviewer and have been asked to </w:t>
      </w:r>
      <w:proofErr w:type="gramStart"/>
      <w:r w:rsidRPr="00697334">
        <w:rPr>
          <w:rFonts w:ascii="Times New Roman" w:hAnsi="Times New Roman" w:cs="Times New Roman"/>
        </w:rPr>
        <w:t>make a decision</w:t>
      </w:r>
      <w:proofErr w:type="gramEnd"/>
      <w:r w:rsidRPr="00697334">
        <w:rPr>
          <w:rFonts w:ascii="Times New Roman" w:hAnsi="Times New Roman" w:cs="Times New Roman"/>
        </w:rPr>
        <w:t xml:space="preserve"> based upon whether or not the candidate would be eligible for tenure and/or promotion at </w:t>
      </w:r>
      <w:r w:rsidRPr="00697334">
        <w:rPr>
          <w:rFonts w:ascii="Times New Roman" w:hAnsi="Times New Roman" w:cs="Times New Roman"/>
          <w:u w:val="single"/>
        </w:rPr>
        <w:t>my</w:t>
      </w:r>
      <w:r w:rsidRPr="00697334">
        <w:rPr>
          <w:rFonts w:ascii="Times New Roman" w:hAnsi="Times New Roman" w:cs="Times New Roman"/>
        </w:rPr>
        <w:t> institution; thus, an external reviewer may need explicit guidance regarding the basis for their recommendation.)</w:t>
      </w:r>
    </w:p>
    <w:p w14:paraId="1D18197E" w14:textId="77777777" w:rsidR="00697334" w:rsidRPr="009E40E2" w:rsidRDefault="00697334" w:rsidP="00697334">
      <w:pPr>
        <w:rPr>
          <w:rFonts w:ascii="Times New Roman" w:hAnsi="Times New Roman" w:cs="Times New Roman"/>
        </w:rPr>
      </w:pPr>
    </w:p>
    <w:p w14:paraId="6D795735" w14:textId="0C57BDC6" w:rsidR="00697334" w:rsidRPr="00697334" w:rsidRDefault="00697334" w:rsidP="00697334">
      <w:pPr>
        <w:rPr>
          <w:rFonts w:ascii="Times New Roman" w:hAnsi="Times New Roman" w:cs="Times New Roman"/>
        </w:rPr>
      </w:pPr>
      <w:r w:rsidRPr="00697334">
        <w:rPr>
          <w:rFonts w:ascii="Times New Roman" w:hAnsi="Times New Roman" w:cs="Times New Roman"/>
        </w:rPr>
        <w:t xml:space="preserve">Secs. 6.1.6–6.1.9 – In order to ensure that the committee is making a clear recommendation (i.e., majority vote) for or against tenure or promotion, it may be helpful if the department tenure and promotion committee consists of an odd number of voting (i.e., </w:t>
      </w:r>
      <w:proofErr w:type="spellStart"/>
      <w:r w:rsidRPr="00697334">
        <w:rPr>
          <w:rFonts w:ascii="Times New Roman" w:hAnsi="Times New Roman" w:cs="Times New Roman"/>
        </w:rPr>
        <w:t>nonabsent</w:t>
      </w:r>
      <w:proofErr w:type="spellEnd"/>
      <w:r w:rsidRPr="00697334">
        <w:rPr>
          <w:rFonts w:ascii="Times New Roman" w:hAnsi="Times New Roman" w:cs="Times New Roman"/>
        </w:rPr>
        <w:t xml:space="preserve">, </w:t>
      </w:r>
      <w:proofErr w:type="spellStart"/>
      <w:r w:rsidRPr="00697334">
        <w:rPr>
          <w:rFonts w:ascii="Times New Roman" w:hAnsi="Times New Roman" w:cs="Times New Roman"/>
        </w:rPr>
        <w:t>nonrecused</w:t>
      </w:r>
      <w:proofErr w:type="spellEnd"/>
      <w:r w:rsidRPr="00697334">
        <w:rPr>
          <w:rFonts w:ascii="Times New Roman" w:hAnsi="Times New Roman" w:cs="Times New Roman"/>
        </w:rPr>
        <w:t>) faculty. For example, if a department has an even number of voting faculty, the department head could designate one additional tenured faculty from a different department as per Sec. 6.1.7.</w:t>
      </w:r>
    </w:p>
    <w:p w14:paraId="70363D99" w14:textId="77777777" w:rsidR="00697334" w:rsidRPr="009E40E2" w:rsidRDefault="00697334" w:rsidP="00697334">
      <w:pPr>
        <w:rPr>
          <w:rFonts w:ascii="Times New Roman" w:hAnsi="Times New Roman" w:cs="Times New Roman"/>
        </w:rPr>
      </w:pPr>
    </w:p>
    <w:p w14:paraId="6313742D" w14:textId="4096B1F8" w:rsidR="00697334" w:rsidRPr="00697334" w:rsidRDefault="00697334" w:rsidP="00697334">
      <w:pPr>
        <w:rPr>
          <w:rFonts w:ascii="Times New Roman" w:hAnsi="Times New Roman" w:cs="Times New Roman"/>
        </w:rPr>
      </w:pPr>
      <w:r w:rsidRPr="00697334">
        <w:rPr>
          <w:rFonts w:ascii="Times New Roman" w:hAnsi="Times New Roman" w:cs="Times New Roman"/>
        </w:rPr>
        <w:t xml:space="preserve">Sec. 6.3 – I think a similar criterion (i.e., odd number of voting faculty) be instituted as well </w:t>
      </w:r>
      <w:proofErr w:type="gramStart"/>
      <w:r w:rsidRPr="00697334">
        <w:rPr>
          <w:rFonts w:ascii="Times New Roman" w:hAnsi="Times New Roman" w:cs="Times New Roman"/>
        </w:rPr>
        <w:t>in order to</w:t>
      </w:r>
      <w:proofErr w:type="gramEnd"/>
      <w:r w:rsidRPr="00697334">
        <w:rPr>
          <w:rFonts w:ascii="Times New Roman" w:hAnsi="Times New Roman" w:cs="Times New Roman"/>
        </w:rPr>
        <w:t xml:space="preserve"> make a clear committee recommendation. </w:t>
      </w:r>
    </w:p>
    <w:p w14:paraId="7494D3BB" w14:textId="77777777" w:rsidR="00697334" w:rsidRPr="009E40E2" w:rsidRDefault="00697334" w:rsidP="00697334">
      <w:pPr>
        <w:rPr>
          <w:rFonts w:ascii="Times New Roman" w:hAnsi="Times New Roman" w:cs="Times New Roman"/>
        </w:rPr>
      </w:pPr>
    </w:p>
    <w:p w14:paraId="7C5CE026" w14:textId="6BE613DC" w:rsidR="00697334" w:rsidRPr="00697334" w:rsidRDefault="00697334" w:rsidP="00697334">
      <w:pPr>
        <w:rPr>
          <w:rFonts w:ascii="Times New Roman" w:hAnsi="Times New Roman" w:cs="Times New Roman"/>
        </w:rPr>
      </w:pPr>
      <w:r w:rsidRPr="00697334">
        <w:rPr>
          <w:rFonts w:ascii="Times New Roman" w:hAnsi="Times New Roman" w:cs="Times New Roman"/>
        </w:rPr>
        <w:t xml:space="preserve">Sec. 6.3.6 – The section reads “committee members on both the department and college tenure and promotion committees should cast their vote at the college level, recuse at the department committee level but participate at the Department T&amp;P Committee.” I see no reason why the college committee member should participate in the department committee at all. By so doing, they </w:t>
      </w:r>
      <w:proofErr w:type="gramStart"/>
      <w:r w:rsidRPr="00697334">
        <w:rPr>
          <w:rFonts w:ascii="Times New Roman" w:hAnsi="Times New Roman" w:cs="Times New Roman"/>
        </w:rPr>
        <w:t>have the opportunity to</w:t>
      </w:r>
      <w:proofErr w:type="gramEnd"/>
      <w:r w:rsidRPr="00697334">
        <w:rPr>
          <w:rFonts w:ascii="Times New Roman" w:hAnsi="Times New Roman" w:cs="Times New Roman"/>
        </w:rPr>
        <w:t xml:space="preserve"> influence two voting groups that should be independent. In addition, the last sentence should indicate that the faculty member should not participate in the college committee based upon this same reason. </w:t>
      </w:r>
    </w:p>
    <w:p w14:paraId="12101109" w14:textId="77777777" w:rsidR="00697334" w:rsidRPr="00697334" w:rsidRDefault="00697334" w:rsidP="00697334">
      <w:pPr>
        <w:rPr>
          <w:rFonts w:ascii="Times New Roman" w:hAnsi="Times New Roman" w:cs="Times New Roman"/>
        </w:rPr>
      </w:pPr>
      <w:r w:rsidRPr="00697334">
        <w:rPr>
          <w:rFonts w:ascii="Times New Roman" w:hAnsi="Times New Roman" w:cs="Times New Roman"/>
        </w:rPr>
        <w:t>General – I assume that the formatting and numbering (including the “XX” in Sec. 7.4.3) will be corrected. Also, why is “dossier” sometimes used? It seems that the use of “portfolio” is more prevalent and, thus, preferred.</w:t>
      </w:r>
    </w:p>
    <w:p w14:paraId="0D6A4A15" w14:textId="77777777" w:rsidR="00697334" w:rsidRPr="00697334" w:rsidRDefault="00697334" w:rsidP="00697334">
      <w:pPr>
        <w:pBdr>
          <w:bottom w:val="single" w:sz="6" w:space="1" w:color="auto"/>
        </w:pBdr>
        <w:rPr>
          <w:rFonts w:ascii="Times New Roman" w:hAnsi="Times New Roman" w:cs="Times New Roman"/>
        </w:rPr>
      </w:pPr>
    </w:p>
    <w:p w14:paraId="716E7D4C" w14:textId="77777777" w:rsidR="00697334" w:rsidRPr="009E40E2" w:rsidRDefault="00697334">
      <w:pPr>
        <w:rPr>
          <w:rFonts w:ascii="Times New Roman" w:hAnsi="Times New Roman" w:cs="Times New Roman"/>
        </w:rPr>
      </w:pPr>
    </w:p>
    <w:p w14:paraId="2E41B5C0" w14:textId="77777777" w:rsidR="00697334" w:rsidRPr="009E40E2" w:rsidRDefault="00697334" w:rsidP="00697334">
      <w:pPr>
        <w:pStyle w:val="ListParagraph"/>
        <w:numPr>
          <w:ilvl w:val="0"/>
          <w:numId w:val="1"/>
        </w:numPr>
        <w:spacing w:after="160" w:line="259" w:lineRule="auto"/>
        <w:rPr>
          <w:rFonts w:ascii="Times New Roman" w:hAnsi="Times New Roman" w:cs="Times New Roman"/>
        </w:rPr>
      </w:pPr>
      <w:r w:rsidRPr="009E40E2">
        <w:rPr>
          <w:rFonts w:ascii="Times New Roman" w:hAnsi="Times New Roman" w:cs="Times New Roman"/>
        </w:rPr>
        <w:t xml:space="preserve">I was about to write about external reviewers myself.  I am </w:t>
      </w:r>
      <w:proofErr w:type="gramStart"/>
      <w:r w:rsidRPr="009E40E2">
        <w:rPr>
          <w:rFonts w:ascii="Times New Roman" w:hAnsi="Times New Roman" w:cs="Times New Roman"/>
        </w:rPr>
        <w:t>fairly sure</w:t>
      </w:r>
      <w:proofErr w:type="gramEnd"/>
      <w:r w:rsidRPr="009E40E2">
        <w:rPr>
          <w:rFonts w:ascii="Times New Roman" w:hAnsi="Times New Roman" w:cs="Times New Roman"/>
        </w:rPr>
        <w:t xml:space="preserve"> * has done a few external reviews himself like I did.  In my time here, I have been an external reviewer for U Mass-Lowell (twice, once for T&amp;P, once just for promotion), twice for Creighton </w:t>
      </w:r>
      <w:r w:rsidRPr="009E40E2">
        <w:rPr>
          <w:rFonts w:ascii="Times New Roman" w:hAnsi="Times New Roman" w:cs="Times New Roman"/>
        </w:rPr>
        <w:lastRenderedPageBreak/>
        <w:t xml:space="preserve">University (both for Promotion) and once for Indiana University East (T&amp;P).  I was even approached by a faculty member in a Dallas area school informally and after this person spoke with </w:t>
      </w:r>
      <w:proofErr w:type="gramStart"/>
      <w:r w:rsidRPr="009E40E2">
        <w:rPr>
          <w:rFonts w:ascii="Times New Roman" w:hAnsi="Times New Roman" w:cs="Times New Roman"/>
        </w:rPr>
        <w:t>me</w:t>
      </w:r>
      <w:proofErr w:type="gramEnd"/>
      <w:r w:rsidRPr="009E40E2">
        <w:rPr>
          <w:rFonts w:ascii="Times New Roman" w:hAnsi="Times New Roman" w:cs="Times New Roman"/>
        </w:rPr>
        <w:t xml:space="preserve"> they did not use my name.  </w:t>
      </w:r>
    </w:p>
    <w:p w14:paraId="29E6477D" w14:textId="77777777" w:rsidR="00697334" w:rsidRPr="009E40E2" w:rsidRDefault="00697334" w:rsidP="00697334">
      <w:pPr>
        <w:pStyle w:val="ListParagraph"/>
        <w:rPr>
          <w:rFonts w:ascii="Times New Roman" w:hAnsi="Times New Roman" w:cs="Times New Roman"/>
        </w:rPr>
      </w:pPr>
    </w:p>
    <w:p w14:paraId="02515DDB"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Being an external reviewer for tenure especially involves significant effort.  For example, all the universities I reviewed portfolios for had very different standards for their T&amp;P.  While external reviews are important, please remember that the first thing most external reviewers look for is research.  If we are talking about 5-10 external reviewers, it is a lot.  Most of the schools I worked with had two. </w:t>
      </w:r>
    </w:p>
    <w:p w14:paraId="068A4D10" w14:textId="77777777" w:rsidR="00697334" w:rsidRPr="009E40E2" w:rsidRDefault="00697334" w:rsidP="00697334">
      <w:pPr>
        <w:pStyle w:val="ListParagraph"/>
        <w:rPr>
          <w:rFonts w:ascii="Times New Roman" w:hAnsi="Times New Roman" w:cs="Times New Roman"/>
        </w:rPr>
      </w:pPr>
    </w:p>
    <w:p w14:paraId="02BB22A1"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I strongly recommend reconsidering the number of external reviewers.  Also, most schools had one nominated by the faculty member and another by the dean (not DH).  While the last review I did was in 2015, not once was I approached by a department head and always by the dean.  </w:t>
      </w:r>
    </w:p>
    <w:p w14:paraId="602C2D5C" w14:textId="77777777" w:rsidR="00697334" w:rsidRPr="009E40E2" w:rsidRDefault="00697334" w:rsidP="00697334">
      <w:pPr>
        <w:pStyle w:val="ListParagraph"/>
        <w:rPr>
          <w:rFonts w:ascii="Times New Roman" w:hAnsi="Times New Roman" w:cs="Times New Roman"/>
        </w:rPr>
      </w:pPr>
    </w:p>
    <w:p w14:paraId="19D50173"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Please note that getting fair and unbiased external reviewers is not easy.  Our profession is a small one.  People who have been around long enough tend to know each other by either reputation or by the work one has done.  We are asking a lot of the person doing the review which is never paid for.  If I were approached to do one now, I will probably refuse to do so.  The amount of work involved and the probability of making a wrong recommendation is not an easy burden to carry.  </w:t>
      </w:r>
    </w:p>
    <w:p w14:paraId="1BA56009" w14:textId="77777777" w:rsidR="00697334" w:rsidRPr="009E40E2" w:rsidRDefault="00697334" w:rsidP="00697334">
      <w:pPr>
        <w:pStyle w:val="ListParagraph"/>
        <w:rPr>
          <w:rFonts w:ascii="Times New Roman" w:hAnsi="Times New Roman" w:cs="Times New Roman"/>
        </w:rPr>
      </w:pPr>
    </w:p>
    <w:p w14:paraId="32620925"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I am assuming that this new policy will be for faculty members joining after it is passed and will not affect the current faculty members who were hired without the external reviews component.  </w:t>
      </w:r>
    </w:p>
    <w:p w14:paraId="76059C0B" w14:textId="77777777" w:rsidR="00697334" w:rsidRPr="009E40E2" w:rsidRDefault="00697334" w:rsidP="00697334">
      <w:pPr>
        <w:pStyle w:val="ListParagraph"/>
        <w:rPr>
          <w:rFonts w:ascii="Times New Roman" w:hAnsi="Times New Roman" w:cs="Times New Roman"/>
        </w:rPr>
      </w:pPr>
    </w:p>
    <w:p w14:paraId="50403666"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A point about the standard to be applied.  If we vote to go this way, we should be very crystal clear in what we told the faculty member on the day they joined should be the </w:t>
      </w:r>
      <w:proofErr w:type="gramStart"/>
      <w:r w:rsidRPr="009E40E2">
        <w:rPr>
          <w:rFonts w:ascii="Times New Roman" w:hAnsi="Times New Roman" w:cs="Times New Roman"/>
        </w:rPr>
        <w:t>exactly the same</w:t>
      </w:r>
      <w:proofErr w:type="gramEnd"/>
      <w:r w:rsidRPr="009E40E2">
        <w:rPr>
          <w:rFonts w:ascii="Times New Roman" w:hAnsi="Times New Roman" w:cs="Times New Roman"/>
        </w:rPr>
        <w:t xml:space="preserve"> on which they are judged by the external reviewer six years later.</w:t>
      </w:r>
    </w:p>
    <w:p w14:paraId="4A73D02E" w14:textId="77777777" w:rsidR="00697334" w:rsidRPr="009E40E2" w:rsidRDefault="00697334" w:rsidP="00697334">
      <w:pPr>
        <w:pStyle w:val="ListParagraph"/>
        <w:rPr>
          <w:rFonts w:ascii="Times New Roman" w:hAnsi="Times New Roman" w:cs="Times New Roman"/>
        </w:rPr>
      </w:pPr>
    </w:p>
    <w:p w14:paraId="5806487B" w14:textId="77777777" w:rsidR="00697334" w:rsidRPr="009E40E2" w:rsidRDefault="00697334" w:rsidP="00697334">
      <w:pPr>
        <w:pStyle w:val="ListParagraph"/>
        <w:numPr>
          <w:ilvl w:val="0"/>
          <w:numId w:val="1"/>
        </w:numPr>
        <w:spacing w:after="160" w:line="259" w:lineRule="auto"/>
        <w:rPr>
          <w:rFonts w:ascii="Times New Roman" w:hAnsi="Times New Roman" w:cs="Times New Roman"/>
        </w:rPr>
      </w:pPr>
      <w:r w:rsidRPr="009E40E2">
        <w:rPr>
          <w:rFonts w:ascii="Times New Roman" w:hAnsi="Times New Roman" w:cs="Times New Roman"/>
        </w:rPr>
        <w:t xml:space="preserve">I did not read that section carefully enough.  In my experience one does develop a list that exceeds the number of actual reviewers. </w:t>
      </w:r>
      <w:proofErr w:type="gramStart"/>
      <w:r w:rsidRPr="009E40E2">
        <w:rPr>
          <w:rFonts w:ascii="Times New Roman" w:hAnsi="Times New Roman" w:cs="Times New Roman"/>
        </w:rPr>
        <w:t>So</w:t>
      </w:r>
      <w:proofErr w:type="gramEnd"/>
      <w:r w:rsidRPr="009E40E2">
        <w:rPr>
          <w:rFonts w:ascii="Times New Roman" w:hAnsi="Times New Roman" w:cs="Times New Roman"/>
        </w:rPr>
        <w:t xml:space="preserve"> if the objective is to have 2-3 you would start with a list of 5-6 and see who is willing to serve. </w:t>
      </w:r>
    </w:p>
    <w:p w14:paraId="04177360" w14:textId="77777777" w:rsidR="00697334" w:rsidRPr="009E40E2" w:rsidRDefault="00697334" w:rsidP="00697334">
      <w:pPr>
        <w:pStyle w:val="ListParagraph"/>
        <w:rPr>
          <w:rFonts w:ascii="Times New Roman" w:hAnsi="Times New Roman" w:cs="Times New Roman"/>
        </w:rPr>
      </w:pPr>
    </w:p>
    <w:p w14:paraId="12B1D171"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I brought up the external review issue 5 years ago.  It seemed odd that we did not do it.  Over time I acclimated to the idea of no external review because we see ourselves as a teaching school more than a research school. My experience in being reviewed is that the school would deny tenure just on research even if teaching were outstanding. That is, external reviews tend to be used at schools where research if "the" thing.</w:t>
      </w:r>
    </w:p>
    <w:p w14:paraId="4ABC8BEE" w14:textId="77777777" w:rsidR="00697334" w:rsidRPr="009E40E2" w:rsidRDefault="00697334" w:rsidP="00697334">
      <w:pPr>
        <w:pStyle w:val="ListParagraph"/>
        <w:rPr>
          <w:rFonts w:ascii="Times New Roman" w:hAnsi="Times New Roman" w:cs="Times New Roman"/>
        </w:rPr>
      </w:pPr>
    </w:p>
    <w:p w14:paraId="3E5105EC"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I wonder if this is tied to our goal to enhance the research status of the </w:t>
      </w:r>
      <w:proofErr w:type="gramStart"/>
      <w:r w:rsidRPr="009E40E2">
        <w:rPr>
          <w:rFonts w:ascii="Times New Roman" w:hAnsi="Times New Roman" w:cs="Times New Roman"/>
        </w:rPr>
        <w:t>university?</w:t>
      </w:r>
      <w:proofErr w:type="gramEnd"/>
    </w:p>
    <w:p w14:paraId="455D0E1E" w14:textId="77777777" w:rsidR="00697334" w:rsidRPr="009E40E2" w:rsidRDefault="00697334" w:rsidP="00697334">
      <w:pPr>
        <w:pStyle w:val="ListParagraph"/>
        <w:rPr>
          <w:rFonts w:ascii="Times New Roman" w:hAnsi="Times New Roman" w:cs="Times New Roman"/>
        </w:rPr>
      </w:pPr>
    </w:p>
    <w:p w14:paraId="1DF37782"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But in any event 5-10 is way too much.  It is a very </w:t>
      </w:r>
      <w:proofErr w:type="gramStart"/>
      <w:r w:rsidRPr="009E40E2">
        <w:rPr>
          <w:rFonts w:ascii="Times New Roman" w:hAnsi="Times New Roman" w:cs="Times New Roman"/>
        </w:rPr>
        <w:t>time consuming</w:t>
      </w:r>
      <w:proofErr w:type="gramEnd"/>
      <w:r w:rsidRPr="009E40E2">
        <w:rPr>
          <w:rFonts w:ascii="Times New Roman" w:hAnsi="Times New Roman" w:cs="Times New Roman"/>
        </w:rPr>
        <w:t xml:space="preserve"> task to serve as an external reviewer. And it is hard to find reviewers within the person's "field" of interest when the college does not provide resources for research and encourage pubs in 2-3 journals. </w:t>
      </w:r>
    </w:p>
    <w:p w14:paraId="203C6B34" w14:textId="77777777" w:rsidR="00697334" w:rsidRPr="009E40E2" w:rsidRDefault="00697334" w:rsidP="00697334">
      <w:pPr>
        <w:pStyle w:val="ListParagraph"/>
        <w:rPr>
          <w:rFonts w:ascii="Times New Roman" w:hAnsi="Times New Roman" w:cs="Times New Roman"/>
        </w:rPr>
      </w:pPr>
    </w:p>
    <w:p w14:paraId="48E96D7A" w14:textId="77777777" w:rsidR="00697334" w:rsidRPr="009E40E2" w:rsidRDefault="00697334" w:rsidP="00697334">
      <w:pPr>
        <w:pStyle w:val="ListParagraph"/>
        <w:rPr>
          <w:rFonts w:ascii="Times New Roman" w:hAnsi="Times New Roman" w:cs="Times New Roman"/>
        </w:rPr>
      </w:pPr>
      <w:r w:rsidRPr="009E40E2">
        <w:rPr>
          <w:rFonts w:ascii="Times New Roman" w:hAnsi="Times New Roman" w:cs="Times New Roman"/>
        </w:rPr>
        <w:t xml:space="preserve">There is also a heavy responsibility on the school to be able to define what the standards for research for tenure reviews is. As * said, the reviewer should not be applying their own standard, so the school must </w:t>
      </w:r>
      <w:proofErr w:type="gramStart"/>
      <w:r w:rsidRPr="009E40E2">
        <w:rPr>
          <w:rFonts w:ascii="Times New Roman" w:hAnsi="Times New Roman" w:cs="Times New Roman"/>
        </w:rPr>
        <w:t>be  explicit</w:t>
      </w:r>
      <w:proofErr w:type="gramEnd"/>
      <w:r w:rsidRPr="009E40E2">
        <w:rPr>
          <w:rFonts w:ascii="Times New Roman" w:hAnsi="Times New Roman" w:cs="Times New Roman"/>
        </w:rPr>
        <w:t xml:space="preserve"> about that. Doesn't it seem that our college would be a bit hard pressed to provide a clear explanation?</w:t>
      </w:r>
    </w:p>
    <w:p w14:paraId="3E19B504" w14:textId="77777777" w:rsidR="00697334" w:rsidRPr="009E40E2" w:rsidRDefault="00697334" w:rsidP="00697334">
      <w:pPr>
        <w:pStyle w:val="ListParagraph"/>
        <w:rPr>
          <w:rFonts w:ascii="Times New Roman" w:hAnsi="Times New Roman" w:cs="Times New Roman"/>
        </w:rPr>
      </w:pPr>
    </w:p>
    <w:p w14:paraId="7B42302B" w14:textId="77777777" w:rsidR="00697334" w:rsidRPr="009E40E2" w:rsidRDefault="00697334" w:rsidP="00697334">
      <w:pPr>
        <w:pStyle w:val="ListParagraph"/>
        <w:numPr>
          <w:ilvl w:val="0"/>
          <w:numId w:val="1"/>
        </w:numPr>
        <w:spacing w:after="160" w:line="259" w:lineRule="auto"/>
        <w:rPr>
          <w:rFonts w:ascii="Times New Roman" w:hAnsi="Times New Roman" w:cs="Times New Roman"/>
          <w:color w:val="1F497D"/>
        </w:rPr>
      </w:pPr>
      <w:r w:rsidRPr="009E40E2">
        <w:rPr>
          <w:rFonts w:ascii="Times New Roman" w:hAnsi="Times New Roman" w:cs="Times New Roman"/>
          <w:color w:val="1F497D"/>
        </w:rPr>
        <w:t xml:space="preserve">Thanks for the opportunity to review. It seems this policy is a significant departure from our current policy particularly </w:t>
      </w:r>
      <w:proofErr w:type="gramStart"/>
      <w:r w:rsidRPr="009E40E2">
        <w:rPr>
          <w:rFonts w:ascii="Times New Roman" w:hAnsi="Times New Roman" w:cs="Times New Roman"/>
          <w:color w:val="1F497D"/>
        </w:rPr>
        <w:t>with regard to</w:t>
      </w:r>
      <w:proofErr w:type="gramEnd"/>
      <w:r w:rsidRPr="009E40E2">
        <w:rPr>
          <w:rFonts w:ascii="Times New Roman" w:hAnsi="Times New Roman" w:cs="Times New Roman"/>
          <w:color w:val="1F497D"/>
        </w:rPr>
        <w:t xml:space="preserve"> external reviewers. See my comments below with excerpts from the policy in black with the comments about external reviewers highlighted in red.  </w:t>
      </w:r>
    </w:p>
    <w:p w14:paraId="353EDA08" w14:textId="77777777" w:rsidR="00697334" w:rsidRPr="009E40E2" w:rsidRDefault="00697334" w:rsidP="00697334">
      <w:pPr>
        <w:rPr>
          <w:rFonts w:ascii="Times New Roman" w:hAnsi="Times New Roman" w:cs="Times New Roman"/>
          <w:color w:val="1F497D"/>
        </w:rPr>
      </w:pPr>
    </w:p>
    <w:p w14:paraId="473F3AD9" w14:textId="77777777" w:rsidR="00697334" w:rsidRPr="009E40E2" w:rsidRDefault="00697334" w:rsidP="00697334">
      <w:pPr>
        <w:pStyle w:val="ListParagraph"/>
        <w:numPr>
          <w:ilvl w:val="0"/>
          <w:numId w:val="3"/>
        </w:numPr>
        <w:contextualSpacing w:val="0"/>
        <w:rPr>
          <w:rFonts w:ascii="Times New Roman" w:hAnsi="Times New Roman" w:cs="Times New Roman"/>
          <w:color w:val="1F497D"/>
        </w:rPr>
      </w:pPr>
      <w:r w:rsidRPr="009E40E2">
        <w:rPr>
          <w:rFonts w:ascii="Times New Roman" w:hAnsi="Times New Roman" w:cs="Times New Roman"/>
          <w:color w:val="1F497D"/>
        </w:rPr>
        <w:t xml:space="preserve">In Section 6.1.3 seems very restrictive and is not consistent with our current practice relative to external reviewers. </w:t>
      </w:r>
    </w:p>
    <w:p w14:paraId="5FC17DC8" w14:textId="77777777" w:rsidR="00697334" w:rsidRPr="009E40E2" w:rsidRDefault="00697334" w:rsidP="00697334">
      <w:pPr>
        <w:pStyle w:val="ListParagraph"/>
        <w:rPr>
          <w:rFonts w:ascii="Times New Roman" w:hAnsi="Times New Roman" w:cs="Times New Roman"/>
          <w:color w:val="1F497D"/>
        </w:rPr>
      </w:pPr>
    </w:p>
    <w:p w14:paraId="1D035187" w14:textId="77777777" w:rsidR="00697334" w:rsidRPr="009E40E2" w:rsidRDefault="00697334" w:rsidP="00697334">
      <w:pPr>
        <w:pStyle w:val="Default"/>
      </w:pPr>
    </w:p>
    <w:p w14:paraId="235B62CA" w14:textId="77777777" w:rsidR="00697334" w:rsidRPr="009E40E2" w:rsidRDefault="00697334" w:rsidP="00697334">
      <w:pPr>
        <w:pStyle w:val="Default"/>
      </w:pPr>
      <w:r w:rsidRPr="009E40E2">
        <w:t xml:space="preserve">Prior to the portfolio submission, the faculty member shall, together with </w:t>
      </w:r>
      <w:r w:rsidRPr="009E40E2">
        <w:rPr>
          <w:color w:val="FF0000"/>
        </w:rPr>
        <w:t xml:space="preserve">the Department Head, develop a list of 5-10 qualified external </w:t>
      </w:r>
      <w:r w:rsidRPr="009E40E2">
        <w:t xml:space="preserve">reviewers of the tenure and promotion portfolio. External reviewers must be individuals who do not have a personal relationship with the candidate and are not employed by the university. The Department Head will solicit external reviews and provide reviewers with the faculty member’s curriculum vitae, Faculty Performance Report, examples of scholarship, and the department guidelines for tenure and promotion. </w:t>
      </w:r>
    </w:p>
    <w:p w14:paraId="03E9A273" w14:textId="77777777" w:rsidR="00697334" w:rsidRPr="009E40E2" w:rsidRDefault="00697334" w:rsidP="00697334">
      <w:pPr>
        <w:pStyle w:val="ListParagraph"/>
        <w:rPr>
          <w:rFonts w:ascii="Times New Roman" w:hAnsi="Times New Roman" w:cs="Times New Roman"/>
          <w:color w:val="1F497D"/>
        </w:rPr>
      </w:pPr>
    </w:p>
    <w:p w14:paraId="3509B8B2" w14:textId="77777777" w:rsidR="00697334" w:rsidRPr="009E40E2" w:rsidRDefault="00697334" w:rsidP="00697334">
      <w:pPr>
        <w:pStyle w:val="ListParagraph"/>
        <w:rPr>
          <w:rFonts w:ascii="Times New Roman" w:hAnsi="Times New Roman" w:cs="Times New Roman"/>
          <w:color w:val="1F497D"/>
        </w:rPr>
      </w:pPr>
    </w:p>
    <w:p w14:paraId="50FF50DE" w14:textId="77777777" w:rsidR="00697334" w:rsidRPr="009E40E2" w:rsidRDefault="00697334" w:rsidP="00697334">
      <w:pPr>
        <w:pStyle w:val="ListParagraph"/>
        <w:numPr>
          <w:ilvl w:val="0"/>
          <w:numId w:val="3"/>
        </w:numPr>
        <w:contextualSpacing w:val="0"/>
        <w:rPr>
          <w:rFonts w:ascii="Times New Roman" w:hAnsi="Times New Roman" w:cs="Times New Roman"/>
          <w:color w:val="1F497D"/>
        </w:rPr>
      </w:pPr>
      <w:proofErr w:type="gramStart"/>
      <w:r w:rsidRPr="009E40E2">
        <w:rPr>
          <w:rFonts w:ascii="Times New Roman" w:hAnsi="Times New Roman" w:cs="Times New Roman"/>
          <w:color w:val="1F497D"/>
        </w:rPr>
        <w:t>Similarly</w:t>
      </w:r>
      <w:proofErr w:type="gramEnd"/>
      <w:r w:rsidRPr="009E40E2">
        <w:rPr>
          <w:rFonts w:ascii="Times New Roman" w:hAnsi="Times New Roman" w:cs="Times New Roman"/>
          <w:color w:val="1F497D"/>
        </w:rPr>
        <w:t xml:space="preserve"> the comments in Section 8.4 are not consistent with current practice. I really like </w:t>
      </w:r>
      <w:proofErr w:type="gramStart"/>
      <w:r w:rsidRPr="009E40E2">
        <w:rPr>
          <w:rFonts w:ascii="Times New Roman" w:hAnsi="Times New Roman" w:cs="Times New Roman"/>
          <w:color w:val="1F497D"/>
        </w:rPr>
        <w:t>all of</w:t>
      </w:r>
      <w:proofErr w:type="gramEnd"/>
      <w:r w:rsidRPr="009E40E2">
        <w:rPr>
          <w:rFonts w:ascii="Times New Roman" w:hAnsi="Times New Roman" w:cs="Times New Roman"/>
          <w:color w:val="1F497D"/>
        </w:rPr>
        <w:t xml:space="preserve"> the dates detailed in Section 8. </w:t>
      </w:r>
    </w:p>
    <w:p w14:paraId="6DCE2412" w14:textId="77777777" w:rsidR="00697334" w:rsidRPr="009E40E2" w:rsidRDefault="00697334" w:rsidP="00697334">
      <w:pPr>
        <w:rPr>
          <w:rFonts w:ascii="Times New Roman" w:hAnsi="Times New Roman" w:cs="Times New Roman"/>
          <w:color w:val="1F497D"/>
        </w:rPr>
      </w:pPr>
    </w:p>
    <w:p w14:paraId="184AB510" w14:textId="77777777" w:rsidR="00697334" w:rsidRPr="009E40E2" w:rsidRDefault="00697334" w:rsidP="00697334">
      <w:pPr>
        <w:pStyle w:val="Default"/>
      </w:pPr>
    </w:p>
    <w:p w14:paraId="0510D74C" w14:textId="77777777" w:rsidR="00697334" w:rsidRPr="009E40E2" w:rsidRDefault="00697334" w:rsidP="00697334">
      <w:pPr>
        <w:pStyle w:val="Default"/>
      </w:pPr>
      <w:r w:rsidRPr="009E40E2">
        <w:t xml:space="preserve">May 1. The Department Head solicits </w:t>
      </w:r>
      <w:r w:rsidRPr="009E40E2">
        <w:rPr>
          <w:color w:val="FF0000"/>
        </w:rPr>
        <w:t xml:space="preserve">external reviewers </w:t>
      </w:r>
      <w:r w:rsidRPr="009E40E2">
        <w:t xml:space="preserve">and provides the faculty member’s curriculum vitae, Faculty Performance Report, sample of scholarship, and the department guidelines for promotion and tenure. </w:t>
      </w:r>
    </w:p>
    <w:p w14:paraId="72201FBA" w14:textId="77777777" w:rsidR="00697334" w:rsidRPr="009E40E2" w:rsidRDefault="00697334" w:rsidP="00697334">
      <w:pPr>
        <w:pStyle w:val="ListParagraph"/>
        <w:rPr>
          <w:rFonts w:ascii="Times New Roman" w:hAnsi="Times New Roman" w:cs="Times New Roman"/>
        </w:rPr>
      </w:pPr>
    </w:p>
    <w:p w14:paraId="556E0759" w14:textId="77777777" w:rsidR="00697334" w:rsidRPr="009E40E2" w:rsidRDefault="00697334" w:rsidP="00697334">
      <w:pPr>
        <w:pStyle w:val="ListParagraph"/>
        <w:numPr>
          <w:ilvl w:val="0"/>
          <w:numId w:val="1"/>
        </w:numPr>
        <w:spacing w:after="160" w:line="259" w:lineRule="auto"/>
        <w:rPr>
          <w:rFonts w:ascii="Times New Roman" w:hAnsi="Times New Roman" w:cs="Times New Roman"/>
        </w:rPr>
      </w:pPr>
    </w:p>
    <w:p w14:paraId="791CC702" w14:textId="77777777" w:rsidR="00697334" w:rsidRPr="009E40E2" w:rsidRDefault="00697334" w:rsidP="00697334">
      <w:pPr>
        <w:pStyle w:val="NormalWeb"/>
        <w:rPr>
          <w:rFonts w:ascii="Times New Roman" w:hAnsi="Times New Roman" w:cs="Times New Roman"/>
          <w:color w:val="000000"/>
        </w:rPr>
      </w:pPr>
      <w:r w:rsidRPr="009E40E2">
        <w:rPr>
          <w:rFonts w:ascii="Times New Roman" w:hAnsi="Times New Roman" w:cs="Times New Roman"/>
          <w:color w:val="000000"/>
        </w:rPr>
        <w:t>Two things:</w:t>
      </w:r>
    </w:p>
    <w:p w14:paraId="600B8439" w14:textId="77777777" w:rsidR="00697334" w:rsidRPr="009E40E2" w:rsidRDefault="00697334" w:rsidP="00697334">
      <w:pPr>
        <w:pStyle w:val="NormalWeb"/>
        <w:rPr>
          <w:rFonts w:ascii="Times New Roman" w:hAnsi="Times New Roman" w:cs="Times New Roman"/>
          <w:color w:val="000000"/>
        </w:rPr>
      </w:pPr>
    </w:p>
    <w:p w14:paraId="34DC5926" w14:textId="77777777" w:rsidR="00697334" w:rsidRPr="009E40E2" w:rsidRDefault="00697334" w:rsidP="00697334">
      <w:pPr>
        <w:numPr>
          <w:ilvl w:val="0"/>
          <w:numId w:val="2"/>
        </w:numPr>
        <w:spacing w:before="100" w:beforeAutospacing="1" w:after="100" w:afterAutospacing="1"/>
        <w:rPr>
          <w:rFonts w:ascii="Times New Roman" w:eastAsia="Times New Roman" w:hAnsi="Times New Roman" w:cs="Times New Roman"/>
          <w:color w:val="000000"/>
          <w14:ligatures w14:val="none"/>
        </w:rPr>
      </w:pPr>
      <w:r w:rsidRPr="009E40E2">
        <w:rPr>
          <w:rFonts w:ascii="Times New Roman" w:eastAsia="Times New Roman" w:hAnsi="Times New Roman" w:cs="Times New Roman"/>
          <w:color w:val="000000"/>
          <w14:ligatures w14:val="none"/>
        </w:rPr>
        <w:t xml:space="preserve">Section 2.4 requires "significantly higher" performance for early tenure. Presumably this is evaluated using the college standards per 4.2.4.5 of this </w:t>
      </w:r>
      <w:proofErr w:type="gramStart"/>
      <w:r w:rsidRPr="009E40E2">
        <w:rPr>
          <w:rFonts w:ascii="Times New Roman" w:eastAsia="Times New Roman" w:hAnsi="Times New Roman" w:cs="Times New Roman"/>
          <w:color w:val="000000"/>
          <w14:ligatures w14:val="none"/>
        </w:rPr>
        <w:t>document</w:t>
      </w:r>
      <w:proofErr w:type="gramEnd"/>
      <w:r w:rsidRPr="009E40E2">
        <w:rPr>
          <w:rFonts w:ascii="Times New Roman" w:eastAsia="Times New Roman" w:hAnsi="Times New Roman" w:cs="Times New Roman"/>
          <w:color w:val="000000"/>
          <w14:ligatures w14:val="none"/>
        </w:rPr>
        <w:t xml:space="preserve">. It does not appear that "we" have used this standard in past cases, but that's water over the bridge, so I wonder if we have a good definition in the college standard to satisfy 4.2.4.5.  I also think that 2.4 can be made </w:t>
      </w:r>
      <w:proofErr w:type="gramStart"/>
      <w:r w:rsidRPr="009E40E2">
        <w:rPr>
          <w:rFonts w:ascii="Times New Roman" w:eastAsia="Times New Roman" w:hAnsi="Times New Roman" w:cs="Times New Roman"/>
          <w:color w:val="000000"/>
          <w14:ligatures w14:val="none"/>
        </w:rPr>
        <w:t>more clear</w:t>
      </w:r>
      <w:proofErr w:type="gramEnd"/>
      <w:r w:rsidRPr="009E40E2">
        <w:rPr>
          <w:rFonts w:ascii="Times New Roman" w:eastAsia="Times New Roman" w:hAnsi="Times New Roman" w:cs="Times New Roman"/>
          <w:color w:val="000000"/>
          <w14:ligatures w14:val="none"/>
        </w:rPr>
        <w:t xml:space="preserve"> by an explicit cross reference to the standards of 4.2.4.5.</w:t>
      </w:r>
    </w:p>
    <w:p w14:paraId="0454C380" w14:textId="77777777" w:rsidR="00697334" w:rsidRPr="009E40E2" w:rsidRDefault="00697334" w:rsidP="00697334">
      <w:pPr>
        <w:numPr>
          <w:ilvl w:val="0"/>
          <w:numId w:val="2"/>
        </w:numPr>
        <w:pBdr>
          <w:bottom w:val="single" w:sz="6" w:space="1" w:color="auto"/>
        </w:pBdr>
        <w:spacing w:before="100" w:beforeAutospacing="1" w:after="100" w:afterAutospacing="1"/>
        <w:rPr>
          <w:rFonts w:ascii="Times New Roman" w:eastAsia="Times New Roman" w:hAnsi="Times New Roman" w:cs="Times New Roman"/>
          <w:color w:val="000000"/>
          <w14:ligatures w14:val="none"/>
        </w:rPr>
      </w:pPr>
      <w:r w:rsidRPr="009E40E2">
        <w:rPr>
          <w:rFonts w:ascii="Times New Roman" w:eastAsia="Times New Roman" w:hAnsi="Times New Roman" w:cs="Times New Roman"/>
          <w:color w:val="000000"/>
          <w14:ligatures w14:val="none"/>
        </w:rPr>
        <w:t xml:space="preserve">Section 2.3, paragraph 2, allows tenure to be granted upon appointment, as does section 3.4.  I do not see what process/standards are to be used for these new appointment grants of tenure. I assume that 4.2.4.4 is to be used.  Again, I think that a cross reference in 2.3 and 3.4 to 4.2.4.4 is helpful, </w:t>
      </w:r>
      <w:proofErr w:type="gramStart"/>
      <w:r w:rsidRPr="009E40E2">
        <w:rPr>
          <w:rFonts w:ascii="Times New Roman" w:eastAsia="Times New Roman" w:hAnsi="Times New Roman" w:cs="Times New Roman"/>
          <w:color w:val="000000"/>
          <w14:ligatures w14:val="none"/>
        </w:rPr>
        <w:t>and also</w:t>
      </w:r>
      <w:proofErr w:type="gramEnd"/>
      <w:r w:rsidRPr="009E40E2">
        <w:rPr>
          <w:rFonts w:ascii="Times New Roman" w:eastAsia="Times New Roman" w:hAnsi="Times New Roman" w:cs="Times New Roman"/>
          <w:color w:val="000000"/>
          <w14:ligatures w14:val="none"/>
        </w:rPr>
        <w:t xml:space="preserve"> wonder if our college has a 4.2.4.4 process that includes the standards/processes to be applied to new appointment tenure awards. </w:t>
      </w:r>
    </w:p>
    <w:p w14:paraId="1179068D" w14:textId="77777777" w:rsidR="00697334" w:rsidRPr="009E40E2" w:rsidRDefault="00697334" w:rsidP="00697334">
      <w:pPr>
        <w:jc w:val="center"/>
        <w:rPr>
          <w:rFonts w:ascii="Times New Roman" w:eastAsia="Times New Roman" w:hAnsi="Times New Roman" w:cs="Times New Roman"/>
          <w14:ligatures w14:val="none"/>
        </w:rPr>
      </w:pPr>
    </w:p>
    <w:p w14:paraId="1D2C8F62" w14:textId="77777777" w:rsidR="00697334" w:rsidRPr="009E40E2" w:rsidRDefault="00697334" w:rsidP="00697334">
      <w:pPr>
        <w:rPr>
          <w:rFonts w:ascii="Times New Roman" w:eastAsia="Times New Roman" w:hAnsi="Times New Roman" w:cs="Times New Roman"/>
          <w14:ligatures w14:val="none"/>
        </w:rPr>
      </w:pPr>
    </w:p>
    <w:p w14:paraId="75F97B18" w14:textId="1614DF6A" w:rsidR="00697334" w:rsidRPr="00697334" w:rsidRDefault="00697334" w:rsidP="00697334">
      <w:pPr>
        <w:pBdr>
          <w:bottom w:val="single" w:sz="6" w:space="1" w:color="auto"/>
        </w:pBdr>
        <w:rPr>
          <w:rFonts w:ascii="Times New Roman" w:eastAsia="Times New Roman" w:hAnsi="Times New Roman" w:cs="Times New Roman"/>
          <w14:ligatures w14:val="none"/>
        </w:rPr>
      </w:pPr>
      <w:r w:rsidRPr="00697334">
        <w:rPr>
          <w:rFonts w:ascii="Times New Roman" w:eastAsia="Times New Roman" w:hAnsi="Times New Roman" w:cs="Times New Roman"/>
          <w14:ligatures w14:val="none"/>
        </w:rPr>
        <w:t>&gt;&gt;     • While having the mid-term review in the 4th year can help tenure-track faculty to establish themselves and show progress, it could also pose challenges, as there might not be enough time after the 4th year to address the recommendations from the T&amp;P committee. Since this change is dictated by the system policy, we may not have much flexibility. Our recommendation would be to have T&amp;P committee recommendations to be included in the annual APR in addition to DH comments. This means there will be a soft/quick review by T&amp;P committee every year and an elaborate review on the 4th year. </w:t>
      </w:r>
      <w:r w:rsidRPr="00697334">
        <w:rPr>
          <w:rFonts w:ascii="Times New Roman" w:eastAsia="Times New Roman" w:hAnsi="Times New Roman" w:cs="Times New Roman"/>
          <w14:ligatures w14:val="none"/>
        </w:rPr>
        <w:br/>
        <w:t>&gt;&gt;     • Generally, we need further clarification regarding the external reviewers, their roles, how they will be picked (I think this is in line with other departments’ feedback).</w:t>
      </w:r>
      <w:r w:rsidRPr="00697334">
        <w:rPr>
          <w:rFonts w:ascii="Times New Roman" w:eastAsia="Times New Roman" w:hAnsi="Times New Roman" w:cs="Times New Roman"/>
          <w14:ligatures w14:val="none"/>
        </w:rPr>
        <w:br/>
        <w:t>&gt;&gt;     • Contrary to the statement in 2.5, as per 12.99.99.R0.08, DH may not be at will appointment. That should be changed to “and are at will or shared governance appointment”. While the appointment and retention decisions for Department Head is vested in the Academic Dean with approval from the Provost and Vice President for Academic Affairs, and should consider the view of other stakeholders, the principle of shared governance in the academy requires that the faculty of the departments in their college play an essential role in the selection of its college department heads</w:t>
      </w:r>
      <w:r w:rsidRPr="00697334">
        <w:rPr>
          <w:rFonts w:ascii="Times New Roman" w:eastAsia="Times New Roman" w:hAnsi="Times New Roman" w:cs="Times New Roman"/>
          <w14:ligatures w14:val="none"/>
        </w:rPr>
        <w:br/>
        <w:t>&gt;&gt;     • Under 3.5, it is stated the review will be performed by DH in years one, two, three and five. We think that Dept head alone doing this will be problematic, especially when there is DH change or disagreement among stake holders (DH, T&amp;P committee, and the candidate). </w:t>
      </w:r>
      <w:r w:rsidRPr="00697334">
        <w:rPr>
          <w:rFonts w:ascii="Times New Roman" w:eastAsia="Times New Roman" w:hAnsi="Times New Roman" w:cs="Times New Roman"/>
          <w14:ligatures w14:val="none"/>
        </w:rPr>
        <w:br/>
        <w:t>&gt;&gt;     • Regarding 3.6, there might be technical issues regarding privacy and user errors. The measures to control these issues need to be stated more clearly.</w:t>
      </w:r>
      <w:r w:rsidRPr="00697334">
        <w:rPr>
          <w:rFonts w:ascii="Times New Roman" w:eastAsia="Times New Roman" w:hAnsi="Times New Roman" w:cs="Times New Roman"/>
          <w14:ligatures w14:val="none"/>
        </w:rPr>
        <w:br/>
        <w:t>&gt;&gt;     • Regarding 6.1.3, “in the rarest circumstances” clause creates ambiguity and unclarity.</w:t>
      </w:r>
      <w:r w:rsidRPr="00697334">
        <w:rPr>
          <w:rFonts w:ascii="Times New Roman" w:eastAsia="Times New Roman" w:hAnsi="Times New Roman" w:cs="Times New Roman"/>
          <w14:ligatures w14:val="none"/>
        </w:rPr>
        <w:br/>
        <w:t>&gt;&gt;     • Regarding 6.1.8, Committee members on both the department and college tenure and promotion committees should cast their vote at the college level, recuse at the department committee level but participate at the Department T&amp;P Committee to avoid giving double power to one person.</w:t>
      </w:r>
      <w:r w:rsidRPr="00697334">
        <w:rPr>
          <w:rFonts w:ascii="Times New Roman" w:eastAsia="Times New Roman" w:hAnsi="Times New Roman" w:cs="Times New Roman"/>
          <w14:ligatures w14:val="none"/>
        </w:rPr>
        <w:br/>
      </w:r>
    </w:p>
    <w:p w14:paraId="5DA5431B" w14:textId="77777777" w:rsidR="00697334" w:rsidRPr="009E40E2" w:rsidRDefault="00697334" w:rsidP="00697334">
      <w:pPr>
        <w:rPr>
          <w:rFonts w:ascii="Times New Roman" w:eastAsia="Times New Roman" w:hAnsi="Times New Roman" w:cs="Times New Roman"/>
          <w14:ligatures w14:val="none"/>
        </w:rPr>
      </w:pPr>
    </w:p>
    <w:p w14:paraId="7537EE3A" w14:textId="77777777" w:rsidR="00697334" w:rsidRPr="009E40E2" w:rsidRDefault="00697334" w:rsidP="00697334">
      <w:pPr>
        <w:pBdr>
          <w:bottom w:val="single" w:sz="6" w:space="1" w:color="auto"/>
        </w:pBdr>
        <w:rPr>
          <w:rFonts w:ascii="Times New Roman" w:eastAsia="Times New Roman" w:hAnsi="Times New Roman" w:cs="Times New Roman"/>
          <w14:ligatures w14:val="none"/>
        </w:rPr>
      </w:pPr>
      <w:r w:rsidRPr="00697334">
        <w:rPr>
          <w:rFonts w:ascii="Times New Roman" w:eastAsia="Times New Roman" w:hAnsi="Times New Roman" w:cs="Times New Roman"/>
          <w14:ligatures w14:val="none"/>
        </w:rPr>
        <w:t>My department did not offer much feedback but essentially what people said were the following:</w:t>
      </w:r>
      <w:r w:rsidRPr="00697334">
        <w:rPr>
          <w:rFonts w:ascii="Times New Roman" w:eastAsia="Times New Roman" w:hAnsi="Times New Roman" w:cs="Times New Roman"/>
          <w14:ligatures w14:val="none"/>
        </w:rPr>
        <w:br/>
        <w:t>&gt; </w:t>
      </w:r>
      <w:r w:rsidRPr="00697334">
        <w:rPr>
          <w:rFonts w:ascii="Times New Roman" w:eastAsia="Times New Roman" w:hAnsi="Times New Roman" w:cs="Times New Roman"/>
          <w14:ligatures w14:val="none"/>
        </w:rPr>
        <w:br/>
        <w:t>&gt; -This seems overall very similar to how we already do T&amp;P (CHSSA already does external letters, for instance). No problem with that</w:t>
      </w:r>
      <w:r w:rsidRPr="00697334">
        <w:rPr>
          <w:rFonts w:ascii="Times New Roman" w:eastAsia="Times New Roman" w:hAnsi="Times New Roman" w:cs="Times New Roman"/>
          <w14:ligatures w14:val="none"/>
        </w:rPr>
        <w:br/>
        <w:t>&gt; </w:t>
      </w:r>
      <w:r w:rsidRPr="00697334">
        <w:rPr>
          <w:rFonts w:ascii="Times New Roman" w:eastAsia="Times New Roman" w:hAnsi="Times New Roman" w:cs="Times New Roman"/>
          <w14:ligatures w14:val="none"/>
        </w:rPr>
        <w:br/>
        <w:t xml:space="preserve">&gt; -This makes going up for early tenure more difficult- moving from 3rd year review to 4th year review. </w:t>
      </w:r>
      <w:proofErr w:type="gramStart"/>
      <w:r w:rsidRPr="00697334">
        <w:rPr>
          <w:rFonts w:ascii="Times New Roman" w:eastAsia="Times New Roman" w:hAnsi="Times New Roman" w:cs="Times New Roman"/>
          <w14:ligatures w14:val="none"/>
        </w:rPr>
        <w:t>Also</w:t>
      </w:r>
      <w:proofErr w:type="gramEnd"/>
      <w:r w:rsidRPr="00697334">
        <w:rPr>
          <w:rFonts w:ascii="Times New Roman" w:eastAsia="Times New Roman" w:hAnsi="Times New Roman" w:cs="Times New Roman"/>
          <w14:ligatures w14:val="none"/>
        </w:rPr>
        <w:t xml:space="preserve"> what does it mean to say there are higher expectations for early tenure? Isn’t it enough to meet the bar early?</w:t>
      </w:r>
      <w:r w:rsidRPr="00697334">
        <w:rPr>
          <w:rFonts w:ascii="Times New Roman" w:eastAsia="Times New Roman" w:hAnsi="Times New Roman" w:cs="Times New Roman"/>
          <w14:ligatures w14:val="none"/>
        </w:rPr>
        <w:br/>
        <w:t>&gt; </w:t>
      </w:r>
      <w:r w:rsidRPr="00697334">
        <w:rPr>
          <w:rFonts w:ascii="Times New Roman" w:eastAsia="Times New Roman" w:hAnsi="Times New Roman" w:cs="Times New Roman"/>
          <w14:ligatures w14:val="none"/>
        </w:rPr>
        <w:br/>
        <w:t>&gt; -Why are only 3 faculty voting on full profs? Does dept not vote? This seems to take power AWAY from faculty since fewer faculty vote for this.</w:t>
      </w:r>
    </w:p>
    <w:p w14:paraId="31B57E7C" w14:textId="77777777" w:rsidR="00697334" w:rsidRPr="00697334" w:rsidRDefault="00697334" w:rsidP="00697334">
      <w:pPr>
        <w:pBdr>
          <w:bottom w:val="single" w:sz="6" w:space="1" w:color="auto"/>
        </w:pBdr>
        <w:rPr>
          <w:rFonts w:ascii="Times New Roman" w:eastAsia="Times New Roman" w:hAnsi="Times New Roman" w:cs="Times New Roman"/>
          <w14:ligatures w14:val="none"/>
        </w:rPr>
      </w:pPr>
    </w:p>
    <w:p w14:paraId="0906E2E4" w14:textId="77777777" w:rsidR="00697334" w:rsidRPr="009E40E2" w:rsidRDefault="00697334" w:rsidP="00697334">
      <w:pPr>
        <w:rPr>
          <w:rFonts w:ascii="Times New Roman" w:eastAsia="Times New Roman" w:hAnsi="Times New Roman" w:cs="Times New Roman"/>
          <w14:ligatures w14:val="none"/>
        </w:rPr>
      </w:pPr>
    </w:p>
    <w:p w14:paraId="46D172EC" w14:textId="77777777" w:rsidR="00697334" w:rsidRPr="00697334" w:rsidRDefault="00697334" w:rsidP="00697334">
      <w:pPr>
        <w:pBdr>
          <w:bottom w:val="single" w:sz="6" w:space="1" w:color="auto"/>
        </w:pBdr>
        <w:rPr>
          <w:rFonts w:ascii="Times New Roman" w:hAnsi="Times New Roman" w:cs="Times New Roman"/>
        </w:rPr>
      </w:pPr>
      <w:r w:rsidRPr="00697334">
        <w:rPr>
          <w:rFonts w:ascii="Times New Roman" w:hAnsi="Times New Roman" w:cs="Times New Roman"/>
        </w:rPr>
        <w:t xml:space="preserve">&gt; Regarding the below - is there a possibility that written clarification can be provided on the below. There are many variations regarding in the number of articles/publications across campus. Is it possible for there to be a baseline or some type of more specific criteria that can be included </w:t>
      </w:r>
      <w:r w:rsidRPr="00697334">
        <w:rPr>
          <w:rFonts w:ascii="Times New Roman" w:hAnsi="Times New Roman" w:cs="Times New Roman"/>
        </w:rPr>
        <w:lastRenderedPageBreak/>
        <w:t>in the policy? Second, what is the relationship between number of publications and financial research support. As it stands, it just says research, scholarship and creative activities are requirements. We do have departmental requirements, but are they situated within university requirements?</w:t>
      </w:r>
      <w:r w:rsidRPr="00697334">
        <w:rPr>
          <w:rFonts w:ascii="Times New Roman" w:hAnsi="Times New Roman" w:cs="Times New Roman"/>
        </w:rPr>
        <w:br/>
        <w:t>&gt; </w:t>
      </w:r>
      <w:r w:rsidRPr="00697334">
        <w:rPr>
          <w:rFonts w:ascii="Times New Roman" w:hAnsi="Times New Roman" w:cs="Times New Roman"/>
        </w:rPr>
        <w:br/>
        <w:t>&gt; I hope my feedback is clear (-:</w:t>
      </w:r>
      <w:r w:rsidRPr="00697334">
        <w:rPr>
          <w:rFonts w:ascii="Times New Roman" w:hAnsi="Times New Roman" w:cs="Times New Roman"/>
        </w:rPr>
        <w:br/>
        <w:t>&gt; </w:t>
      </w:r>
      <w:r w:rsidRPr="00697334">
        <w:rPr>
          <w:rFonts w:ascii="Times New Roman" w:hAnsi="Times New Roman" w:cs="Times New Roman"/>
        </w:rPr>
        <w:br/>
        <w:t>&gt; 4.1.2 Research, Scholarship, and Creative Activities (RSCA): Creation and dissemination of new knowledge or other creative activities. For most disciplines, this category consists of research and publication, grants and contracts. Consistent with the mission of the University, due consideration must be given to peer- reviewed publications or intellectual contributions in the realm of the Scholarship of Teaching and Student Learning and Success. For some disciplines, however, this category of professional performance may include other forms of peer- reviewed creative activity. Technology, fiction, poetry, painting, music, and sculpture are examples.</w:t>
      </w:r>
    </w:p>
    <w:p w14:paraId="2673E5A6" w14:textId="77777777" w:rsidR="00697334" w:rsidRPr="009E40E2" w:rsidRDefault="00697334">
      <w:pPr>
        <w:rPr>
          <w:rFonts w:ascii="Times New Roman" w:hAnsi="Times New Roman" w:cs="Times New Roman"/>
        </w:rPr>
      </w:pPr>
    </w:p>
    <w:p w14:paraId="0259B7B1" w14:textId="77777777" w:rsidR="00697334" w:rsidRPr="00697334" w:rsidRDefault="00697334" w:rsidP="00697334">
      <w:pPr>
        <w:rPr>
          <w:rFonts w:ascii="Times New Roman" w:hAnsi="Times New Roman" w:cs="Times New Roman"/>
        </w:rPr>
      </w:pPr>
      <w:r w:rsidRPr="00697334">
        <w:rPr>
          <w:rFonts w:ascii="Times New Roman" w:hAnsi="Times New Roman" w:cs="Times New Roman"/>
        </w:rPr>
        <w:t>I want to make sure that all candidates, including those with disabilities, have adequate time and support to access, navigate, organize, upload and troubleshoot documents into the D2L platform. A physical binder is very different than a layered, digital labyrinth... and presents significant challenges for some. </w:t>
      </w:r>
    </w:p>
    <w:p w14:paraId="4AA6330A" w14:textId="77777777" w:rsidR="00697334" w:rsidRPr="009E40E2" w:rsidRDefault="00697334" w:rsidP="00697334">
      <w:pPr>
        <w:pBdr>
          <w:top w:val="single" w:sz="6" w:space="1" w:color="auto"/>
          <w:bottom w:val="single" w:sz="6" w:space="1" w:color="auto"/>
        </w:pBdr>
        <w:rPr>
          <w:rFonts w:ascii="Times New Roman" w:hAnsi="Times New Roman" w:cs="Times New Roman"/>
        </w:rPr>
      </w:pPr>
      <w:r w:rsidRPr="00697334">
        <w:rPr>
          <w:rFonts w:ascii="Times New Roman" w:hAnsi="Times New Roman" w:cs="Times New Roman"/>
        </w:rPr>
        <w:t>&gt; I would like FS to comment on the statement in 2.4 which reads</w:t>
      </w:r>
      <w:proofErr w:type="gramStart"/>
      <w:r w:rsidRPr="00697334">
        <w:rPr>
          <w:rFonts w:ascii="Times New Roman" w:hAnsi="Times New Roman" w:cs="Times New Roman"/>
        </w:rPr>
        <w:t>:  “</w:t>
      </w:r>
      <w:proofErr w:type="gramEnd"/>
      <w:r w:rsidRPr="00697334">
        <w:rPr>
          <w:rFonts w:ascii="Times New Roman" w:hAnsi="Times New Roman" w:cs="Times New Roman"/>
        </w:rPr>
        <w:t>If a faculty member is denied early tenure, the faculty member will not be allowed another opportunity for application and must be provided a letter of non-reappointment that complies with the criteria in University Procedure 12.01.99.R1.”. </w:t>
      </w:r>
      <w:r w:rsidRPr="00697334">
        <w:rPr>
          <w:rFonts w:ascii="Times New Roman" w:hAnsi="Times New Roman" w:cs="Times New Roman"/>
        </w:rPr>
        <w:br/>
      </w:r>
      <w:proofErr w:type="gramStart"/>
      <w:r w:rsidRPr="00697334">
        <w:rPr>
          <w:rFonts w:ascii="Times New Roman" w:hAnsi="Times New Roman" w:cs="Times New Roman"/>
        </w:rPr>
        <w:t>&gt;  To</w:t>
      </w:r>
      <w:proofErr w:type="gramEnd"/>
      <w:r w:rsidRPr="00697334">
        <w:rPr>
          <w:rFonts w:ascii="Times New Roman" w:hAnsi="Times New Roman" w:cs="Times New Roman"/>
        </w:rPr>
        <w:t xml:space="preserve"> me this policy is a slap in the face to faculty members who are accelerated in their progress.  I’m fine with denying the tenure/promotion, but to give the faculty member a letter of non-reappointment completely disincentives the prospect of going up early.  Additionally, within 2.4, the use of the word “significant” is both vague and left completely up to the T/P committees at ALL levels.  To provide such a policy that would result in a faculty member being essentially fired by a subjective term seems to be an unfair procedure. </w:t>
      </w:r>
      <w:r w:rsidRPr="00697334">
        <w:rPr>
          <w:rFonts w:ascii="Times New Roman" w:hAnsi="Times New Roman" w:cs="Times New Roman"/>
        </w:rPr>
        <w:br/>
        <w:t>&gt; </w:t>
      </w:r>
      <w:r w:rsidRPr="00697334">
        <w:rPr>
          <w:rFonts w:ascii="Times New Roman" w:hAnsi="Times New Roman" w:cs="Times New Roman"/>
        </w:rPr>
        <w:br/>
        <w:t xml:space="preserve">&gt; </w:t>
      </w:r>
      <w:proofErr w:type="gramStart"/>
      <w:r w:rsidRPr="00697334">
        <w:rPr>
          <w:rFonts w:ascii="Times New Roman" w:hAnsi="Times New Roman" w:cs="Times New Roman"/>
        </w:rPr>
        <w:t>6.1.13  &amp;</w:t>
      </w:r>
      <w:proofErr w:type="gramEnd"/>
      <w:r w:rsidRPr="00697334">
        <w:rPr>
          <w:rFonts w:ascii="Times New Roman" w:hAnsi="Times New Roman" w:cs="Times New Roman"/>
        </w:rPr>
        <w:t xml:space="preserve"> 6.2 – “if the promotion candidate is the Department head” and “if the faculty member … has a joint appointment …. “</w:t>
      </w:r>
      <w:r w:rsidRPr="00697334">
        <w:rPr>
          <w:rFonts w:ascii="Times New Roman" w:hAnsi="Times New Roman" w:cs="Times New Roman"/>
        </w:rPr>
        <w:br/>
      </w:r>
      <w:proofErr w:type="gramStart"/>
      <w:r w:rsidRPr="00697334">
        <w:rPr>
          <w:rFonts w:ascii="Times New Roman" w:hAnsi="Times New Roman" w:cs="Times New Roman"/>
        </w:rPr>
        <w:t>&gt;  –</w:t>
      </w:r>
      <w:proofErr w:type="gramEnd"/>
      <w:r w:rsidRPr="00697334">
        <w:rPr>
          <w:rFonts w:ascii="Times New Roman" w:hAnsi="Times New Roman" w:cs="Times New Roman"/>
        </w:rPr>
        <w:t xml:space="preserve"> this conflicts with the earlier statement in 2.5 &amp; 2.6  on not being considered for tenure.</w:t>
      </w:r>
      <w:r w:rsidRPr="00697334">
        <w:rPr>
          <w:rFonts w:ascii="Times New Roman" w:hAnsi="Times New Roman" w:cs="Times New Roman"/>
        </w:rPr>
        <w:br/>
        <w:t>&gt;  This may cause some ambiguities on what is considered administrative positions that are not considered. But in section 6, the fact these are listed can read a bit confusing so maybe adding some objective grounds on why they would not be considered so it is not left to interpretation that may cause issues for some.</w:t>
      </w:r>
    </w:p>
    <w:p w14:paraId="3E20C2BE" w14:textId="77777777" w:rsidR="00697334" w:rsidRPr="00697334" w:rsidRDefault="00697334" w:rsidP="00697334">
      <w:pPr>
        <w:pBdr>
          <w:top w:val="single" w:sz="6" w:space="1" w:color="auto"/>
          <w:bottom w:val="single" w:sz="6" w:space="1" w:color="auto"/>
        </w:pBdr>
        <w:rPr>
          <w:rFonts w:ascii="Times New Roman" w:hAnsi="Times New Roman" w:cs="Times New Roman"/>
        </w:rPr>
      </w:pPr>
    </w:p>
    <w:p w14:paraId="4B3A82EC" w14:textId="77777777" w:rsidR="00697334" w:rsidRPr="009E40E2" w:rsidRDefault="00697334">
      <w:pPr>
        <w:rPr>
          <w:rFonts w:ascii="Times New Roman" w:hAnsi="Times New Roman" w:cs="Times New Roman"/>
        </w:rPr>
      </w:pPr>
    </w:p>
    <w:p w14:paraId="4C40531D" w14:textId="77777777" w:rsidR="00697334" w:rsidRPr="00697334" w:rsidRDefault="00697334" w:rsidP="00697334">
      <w:pPr>
        <w:pBdr>
          <w:bottom w:val="single" w:sz="6" w:space="1" w:color="auto"/>
        </w:pBdr>
        <w:rPr>
          <w:rFonts w:ascii="Times New Roman" w:hAnsi="Times New Roman" w:cs="Times New Roman"/>
        </w:rPr>
      </w:pPr>
      <w:r w:rsidRPr="00697334">
        <w:rPr>
          <w:rFonts w:ascii="Times New Roman" w:hAnsi="Times New Roman" w:cs="Times New Roman"/>
        </w:rPr>
        <w:t>One should be allowed to apply, be denied, without being provided a letter of non-reappointment. This reads like a punitive administrative act.</w:t>
      </w:r>
    </w:p>
    <w:p w14:paraId="298FCE82" w14:textId="77777777" w:rsidR="00697334" w:rsidRPr="009E40E2" w:rsidRDefault="00697334">
      <w:pPr>
        <w:rPr>
          <w:rFonts w:ascii="Times New Roman" w:hAnsi="Times New Roman" w:cs="Times New Roman"/>
        </w:rPr>
      </w:pPr>
    </w:p>
    <w:p w14:paraId="7AACEF83" w14:textId="77777777" w:rsidR="00697334" w:rsidRPr="009E40E2" w:rsidRDefault="00697334" w:rsidP="00697334">
      <w:pPr>
        <w:pBdr>
          <w:bottom w:val="single" w:sz="6" w:space="1" w:color="auto"/>
        </w:pBdr>
        <w:rPr>
          <w:rFonts w:ascii="Times New Roman" w:hAnsi="Times New Roman" w:cs="Times New Roman"/>
        </w:rPr>
      </w:pPr>
      <w:r w:rsidRPr="00697334">
        <w:rPr>
          <w:rFonts w:ascii="Times New Roman" w:hAnsi="Times New Roman" w:cs="Times New Roman"/>
        </w:rPr>
        <w:t xml:space="preserve">I only ask that the process for converting non-tenure track positions to tenure-track be outlined in this document so that the process is crystal clear. As it stands, the </w:t>
      </w:r>
      <w:proofErr w:type="gramStart"/>
      <w:r w:rsidRPr="00697334">
        <w:rPr>
          <w:rFonts w:ascii="Times New Roman" w:hAnsi="Times New Roman" w:cs="Times New Roman"/>
        </w:rPr>
        <w:t>manner in which</w:t>
      </w:r>
      <w:proofErr w:type="gramEnd"/>
      <w:r w:rsidRPr="00697334">
        <w:rPr>
          <w:rFonts w:ascii="Times New Roman" w:hAnsi="Times New Roman" w:cs="Times New Roman"/>
        </w:rPr>
        <w:t xml:space="preserve"> the two processes intersect is open to interpretation.</w:t>
      </w:r>
    </w:p>
    <w:p w14:paraId="3F8D5AD2" w14:textId="77777777" w:rsidR="00697334" w:rsidRPr="00697334" w:rsidRDefault="00697334" w:rsidP="00697334">
      <w:pPr>
        <w:pBdr>
          <w:bottom w:val="single" w:sz="6" w:space="1" w:color="auto"/>
        </w:pBdr>
        <w:rPr>
          <w:rFonts w:ascii="Times New Roman" w:hAnsi="Times New Roman" w:cs="Times New Roman"/>
        </w:rPr>
      </w:pPr>
    </w:p>
    <w:p w14:paraId="10956D40" w14:textId="77777777" w:rsidR="00697334" w:rsidRPr="009E40E2" w:rsidRDefault="00697334">
      <w:pPr>
        <w:rPr>
          <w:rFonts w:ascii="Times New Roman" w:hAnsi="Times New Roman" w:cs="Times New Roman"/>
        </w:rPr>
      </w:pPr>
    </w:p>
    <w:p w14:paraId="36E8FEEE" w14:textId="77777777" w:rsidR="00697334" w:rsidRPr="00697334" w:rsidRDefault="00697334" w:rsidP="00697334">
      <w:pPr>
        <w:rPr>
          <w:rFonts w:ascii="Times New Roman" w:hAnsi="Times New Roman" w:cs="Times New Roman"/>
        </w:rPr>
      </w:pPr>
      <w:r w:rsidRPr="00697334">
        <w:rPr>
          <w:rFonts w:ascii="Times New Roman" w:hAnsi="Times New Roman" w:cs="Times New Roman"/>
        </w:rPr>
        <w:t xml:space="preserve">- It says the person needs to find 5-10 external reviewers. That part is vague. And 5-10 is a significant number. Three letters </w:t>
      </w:r>
      <w:proofErr w:type="gramStart"/>
      <w:r w:rsidRPr="00697334">
        <w:rPr>
          <w:rFonts w:ascii="Times New Roman" w:hAnsi="Times New Roman" w:cs="Times New Roman"/>
        </w:rPr>
        <w:t>is</w:t>
      </w:r>
      <w:proofErr w:type="gramEnd"/>
      <w:r w:rsidRPr="00697334">
        <w:rPr>
          <w:rFonts w:ascii="Times New Roman" w:hAnsi="Times New Roman" w:cs="Times New Roman"/>
        </w:rPr>
        <w:t xml:space="preserve"> also a lot. </w:t>
      </w:r>
    </w:p>
    <w:p w14:paraId="2388CB0D" w14:textId="77777777" w:rsidR="00697334" w:rsidRPr="00697334" w:rsidRDefault="00697334" w:rsidP="00697334">
      <w:pPr>
        <w:rPr>
          <w:rFonts w:ascii="Times New Roman" w:hAnsi="Times New Roman" w:cs="Times New Roman"/>
        </w:rPr>
      </w:pPr>
    </w:p>
    <w:p w14:paraId="51E27C5A" w14:textId="77777777" w:rsidR="00697334" w:rsidRPr="00697334" w:rsidRDefault="00697334" w:rsidP="00697334">
      <w:pPr>
        <w:rPr>
          <w:rFonts w:ascii="Times New Roman" w:hAnsi="Times New Roman" w:cs="Times New Roman"/>
        </w:rPr>
      </w:pPr>
      <w:r w:rsidRPr="00697334">
        <w:rPr>
          <w:rFonts w:ascii="Times New Roman" w:hAnsi="Times New Roman" w:cs="Times New Roman"/>
        </w:rPr>
        <w:t>- This section: "</w:t>
      </w:r>
    </w:p>
    <w:p w14:paraId="78C95F3C" w14:textId="77777777" w:rsidR="00697334" w:rsidRPr="00697334" w:rsidRDefault="00697334" w:rsidP="00697334">
      <w:pPr>
        <w:rPr>
          <w:rFonts w:ascii="Times New Roman" w:hAnsi="Times New Roman" w:cs="Times New Roman"/>
        </w:rPr>
      </w:pPr>
    </w:p>
    <w:p w14:paraId="60577921" w14:textId="77777777" w:rsidR="00697334" w:rsidRPr="00697334" w:rsidRDefault="00697334" w:rsidP="00697334">
      <w:pPr>
        <w:rPr>
          <w:rFonts w:ascii="Times New Roman" w:hAnsi="Times New Roman" w:cs="Times New Roman"/>
        </w:rPr>
      </w:pPr>
      <w:r w:rsidRPr="00697334">
        <w:rPr>
          <w:rFonts w:ascii="Times New Roman" w:hAnsi="Times New Roman" w:cs="Times New Roman"/>
        </w:rPr>
        <w:t>Annual Review of Faculty Performance must be considered in rating the contributions of each candidate for tenure and/or promotion </w:t>
      </w:r>
    </w:p>
    <w:p w14:paraId="16CEDC41" w14:textId="77777777" w:rsidR="00697334" w:rsidRPr="00697334" w:rsidRDefault="00697334" w:rsidP="00697334">
      <w:pPr>
        <w:rPr>
          <w:rFonts w:ascii="Times New Roman" w:hAnsi="Times New Roman" w:cs="Times New Roman"/>
        </w:rPr>
      </w:pPr>
    </w:p>
    <w:p w14:paraId="18E4675B" w14:textId="77777777" w:rsidR="00697334" w:rsidRPr="00697334" w:rsidRDefault="00697334" w:rsidP="00697334">
      <w:pPr>
        <w:rPr>
          <w:rFonts w:ascii="Times New Roman" w:hAnsi="Times New Roman" w:cs="Times New Roman"/>
        </w:rPr>
      </w:pPr>
      <w:r w:rsidRPr="00697334">
        <w:rPr>
          <w:rFonts w:ascii="Times New Roman" w:hAnsi="Times New Roman" w:cs="Times New Roman"/>
        </w:rPr>
        <w:t>I don't know if that is possible. That is the DH’s job. The T&amp;P can make decisions only based on what they have in front of them.  </w:t>
      </w:r>
    </w:p>
    <w:p w14:paraId="0D5DDB50" w14:textId="77777777" w:rsidR="00697334" w:rsidRPr="00697334" w:rsidRDefault="00697334" w:rsidP="00697334">
      <w:pPr>
        <w:rPr>
          <w:rFonts w:ascii="Times New Roman" w:hAnsi="Times New Roman" w:cs="Times New Roman"/>
        </w:rPr>
      </w:pPr>
    </w:p>
    <w:p w14:paraId="64B349F4" w14:textId="77777777" w:rsidR="00697334" w:rsidRPr="009E40E2" w:rsidRDefault="00697334" w:rsidP="00697334">
      <w:pPr>
        <w:pBdr>
          <w:bottom w:val="single" w:sz="6" w:space="1" w:color="auto"/>
        </w:pBdr>
        <w:rPr>
          <w:rFonts w:ascii="Times New Roman" w:hAnsi="Times New Roman" w:cs="Times New Roman"/>
        </w:rPr>
      </w:pPr>
      <w:r w:rsidRPr="00697334">
        <w:rPr>
          <w:rFonts w:ascii="Times New Roman" w:hAnsi="Times New Roman" w:cs="Times New Roman"/>
        </w:rPr>
        <w:t xml:space="preserve">- Regarding appeal, it is only allowed at the </w:t>
      </w:r>
      <w:proofErr w:type="gramStart"/>
      <w:r w:rsidRPr="00697334">
        <w:rPr>
          <w:rFonts w:ascii="Times New Roman" w:hAnsi="Times New Roman" w:cs="Times New Roman"/>
        </w:rPr>
        <w:t>Provost</w:t>
      </w:r>
      <w:proofErr w:type="gramEnd"/>
      <w:r w:rsidRPr="00697334">
        <w:rPr>
          <w:rFonts w:ascii="Times New Roman" w:hAnsi="Times New Roman" w:cs="Times New Roman"/>
        </w:rPr>
        <w:t xml:space="preserve"> level. In my opinion, it must be available at the DH and Dean levels as well. </w:t>
      </w:r>
    </w:p>
    <w:p w14:paraId="50BFAABD" w14:textId="77777777" w:rsidR="00CC24D2" w:rsidRPr="00697334" w:rsidRDefault="00CC24D2" w:rsidP="00697334">
      <w:pPr>
        <w:pBdr>
          <w:bottom w:val="single" w:sz="6" w:space="1" w:color="auto"/>
        </w:pBdr>
        <w:rPr>
          <w:rFonts w:ascii="Times New Roman" w:hAnsi="Times New Roman" w:cs="Times New Roman"/>
        </w:rPr>
      </w:pPr>
    </w:p>
    <w:p w14:paraId="4C731E9C" w14:textId="77777777" w:rsidR="00697334" w:rsidRPr="009E40E2" w:rsidRDefault="00697334" w:rsidP="00697334">
      <w:pPr>
        <w:rPr>
          <w:rFonts w:ascii="Times New Roman" w:hAnsi="Times New Roman" w:cs="Times New Roman"/>
        </w:rPr>
      </w:pPr>
    </w:p>
    <w:p w14:paraId="2F6CA595" w14:textId="77777777" w:rsidR="00CC24D2" w:rsidRPr="00CC24D2" w:rsidRDefault="00CC24D2" w:rsidP="00CC24D2">
      <w:pPr>
        <w:rPr>
          <w:rFonts w:ascii="Times New Roman" w:hAnsi="Times New Roman" w:cs="Times New Roman"/>
        </w:rPr>
      </w:pPr>
      <w:r w:rsidRPr="00CC24D2">
        <w:rPr>
          <w:rFonts w:ascii="Times New Roman" w:hAnsi="Times New Roman" w:cs="Times New Roman"/>
        </w:rPr>
        <w:t xml:space="preserve">I like the changes, specifically, inviting outside evaluators. However, it would be nice to add a statement that dep. heads cannot veto </w:t>
      </w:r>
      <w:proofErr w:type="gramStart"/>
      <w:r w:rsidRPr="00CC24D2">
        <w:rPr>
          <w:rFonts w:ascii="Times New Roman" w:hAnsi="Times New Roman" w:cs="Times New Roman"/>
        </w:rPr>
        <w:t>the majority of</w:t>
      </w:r>
      <w:proofErr w:type="gramEnd"/>
      <w:r w:rsidRPr="00CC24D2">
        <w:rPr>
          <w:rFonts w:ascii="Times New Roman" w:hAnsi="Times New Roman" w:cs="Times New Roman"/>
        </w:rPr>
        <w:t xml:space="preserve"> votes.</w:t>
      </w:r>
    </w:p>
    <w:p w14:paraId="761905F0" w14:textId="77777777" w:rsidR="00CC24D2" w:rsidRPr="00CC24D2" w:rsidRDefault="00CC24D2" w:rsidP="00CC24D2">
      <w:pPr>
        <w:rPr>
          <w:rFonts w:ascii="Times New Roman" w:hAnsi="Times New Roman" w:cs="Times New Roman"/>
        </w:rPr>
      </w:pPr>
      <w:r w:rsidRPr="00CC24D2">
        <w:rPr>
          <w:rFonts w:ascii="Times New Roman" w:hAnsi="Times New Roman" w:cs="Times New Roman"/>
        </w:rPr>
        <w:t>Also, subsection 6.1.2 is missing, and sections 7.2 &amp; 7.3, 7.4 has numbering issues.</w:t>
      </w:r>
    </w:p>
    <w:p w14:paraId="3905CCF6" w14:textId="77777777" w:rsidR="00CC24D2" w:rsidRPr="00CC24D2" w:rsidRDefault="00CC24D2" w:rsidP="00CC24D2">
      <w:pPr>
        <w:pBdr>
          <w:bottom w:val="single" w:sz="6" w:space="1" w:color="auto"/>
        </w:pBdr>
        <w:rPr>
          <w:rFonts w:ascii="Times New Roman" w:hAnsi="Times New Roman" w:cs="Times New Roman"/>
        </w:rPr>
      </w:pPr>
    </w:p>
    <w:p w14:paraId="5E6164AC" w14:textId="77777777" w:rsidR="00CC24D2" w:rsidRPr="00697334" w:rsidRDefault="00CC24D2" w:rsidP="00697334">
      <w:pPr>
        <w:rPr>
          <w:rFonts w:ascii="Times New Roman" w:hAnsi="Times New Roman" w:cs="Times New Roman"/>
        </w:rPr>
      </w:pPr>
    </w:p>
    <w:p w14:paraId="6EDB033B" w14:textId="77777777" w:rsidR="009E40E2" w:rsidRPr="009E40E2" w:rsidRDefault="009E40E2" w:rsidP="009E40E2">
      <w:pPr>
        <w:spacing w:before="100" w:after="100"/>
        <w:ind w:right="720"/>
        <w:rPr>
          <w:rFonts w:ascii="Times New Roman" w:eastAsia="Times New Roman" w:hAnsi="Times New Roman" w:cs="Times New Roman"/>
          <w:kern w:val="0"/>
          <w14:ligatures w14:val="none"/>
        </w:rPr>
      </w:pPr>
      <w:r w:rsidRPr="009E40E2">
        <w:rPr>
          <w:rFonts w:ascii="Times New Roman" w:eastAsia="Times New Roman" w:hAnsi="Times New Roman" w:cs="Times New Roman"/>
          <w:kern w:val="0"/>
          <w14:ligatures w14:val="none"/>
        </w:rPr>
        <w:t>Jumping from no external reviewers to 5-10 is a significant leap.</w:t>
      </w:r>
      <w:r w:rsidRPr="009E40E2">
        <w:rPr>
          <w:rFonts w:ascii="Times New Roman" w:eastAsia="Times New Roman" w:hAnsi="Times New Roman" w:cs="Times New Roman"/>
          <w:kern w:val="0"/>
          <w14:ligatures w14:val="none"/>
        </w:rPr>
        <w:br/>
        <w:t>While I understand the idea of involving qualified external reviewers, this approach alone may not instantly elevate us to an R1 status.</w:t>
      </w:r>
      <w:r w:rsidRPr="009E40E2">
        <w:rPr>
          <w:rFonts w:ascii="Times New Roman" w:eastAsia="Times New Roman" w:hAnsi="Times New Roman" w:cs="Times New Roman"/>
          <w:kern w:val="0"/>
          <w14:ligatures w14:val="none"/>
        </w:rPr>
        <w:br/>
      </w:r>
      <w:r w:rsidRPr="009E40E2">
        <w:rPr>
          <w:rFonts w:ascii="Times New Roman" w:eastAsia="Times New Roman" w:hAnsi="Times New Roman" w:cs="Times New Roman"/>
          <w:kern w:val="0"/>
          <w14:ligatures w14:val="none"/>
        </w:rPr>
        <w:br/>
        <w:t>I believe that 1-3 external reviews would be a more reasonable.</w:t>
      </w:r>
    </w:p>
    <w:p w14:paraId="6A73AEF7" w14:textId="77777777" w:rsidR="00697334" w:rsidRPr="009E40E2" w:rsidRDefault="00697334">
      <w:pPr>
        <w:rPr>
          <w:rFonts w:ascii="Times New Roman" w:hAnsi="Times New Roman" w:cs="Times New Roman"/>
        </w:rPr>
      </w:pPr>
    </w:p>
    <w:sectPr w:rsidR="00697334" w:rsidRPr="009E40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920560"/>
    <w:multiLevelType w:val="multilevel"/>
    <w:tmpl w:val="C0EE17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6145A71"/>
    <w:multiLevelType w:val="multilevel"/>
    <w:tmpl w:val="C0EE17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A0042EB"/>
    <w:multiLevelType w:val="hybridMultilevel"/>
    <w:tmpl w:val="50648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B677BE0"/>
    <w:multiLevelType w:val="hybridMultilevel"/>
    <w:tmpl w:val="4084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482395">
    <w:abstractNumId w:val="3"/>
  </w:num>
  <w:num w:numId="2" w16cid:durableId="1483959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5324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4096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334"/>
    <w:rsid w:val="00010C46"/>
    <w:rsid w:val="00472699"/>
    <w:rsid w:val="00697334"/>
    <w:rsid w:val="009E40E2"/>
    <w:rsid w:val="00AC5555"/>
    <w:rsid w:val="00CC2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A26ECB"/>
  <w15:chartTrackingRefBased/>
  <w15:docId w15:val="{58443FE1-A5E2-1C43-852E-24D990168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3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3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3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3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334"/>
    <w:rPr>
      <w:rFonts w:eastAsiaTheme="majorEastAsia" w:cstheme="majorBidi"/>
      <w:color w:val="272727" w:themeColor="text1" w:themeTint="D8"/>
    </w:rPr>
  </w:style>
  <w:style w:type="paragraph" w:styleId="Title">
    <w:name w:val="Title"/>
    <w:basedOn w:val="Normal"/>
    <w:next w:val="Normal"/>
    <w:link w:val="TitleChar"/>
    <w:uiPriority w:val="10"/>
    <w:qFormat/>
    <w:rsid w:val="006973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3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3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7334"/>
    <w:rPr>
      <w:i/>
      <w:iCs/>
      <w:color w:val="404040" w:themeColor="text1" w:themeTint="BF"/>
    </w:rPr>
  </w:style>
  <w:style w:type="paragraph" w:styleId="ListParagraph">
    <w:name w:val="List Paragraph"/>
    <w:basedOn w:val="Normal"/>
    <w:uiPriority w:val="34"/>
    <w:qFormat/>
    <w:rsid w:val="00697334"/>
    <w:pPr>
      <w:ind w:left="720"/>
      <w:contextualSpacing/>
    </w:pPr>
  </w:style>
  <w:style w:type="character" w:styleId="IntenseEmphasis">
    <w:name w:val="Intense Emphasis"/>
    <w:basedOn w:val="DefaultParagraphFont"/>
    <w:uiPriority w:val="21"/>
    <w:qFormat/>
    <w:rsid w:val="00697334"/>
    <w:rPr>
      <w:i/>
      <w:iCs/>
      <w:color w:val="0F4761" w:themeColor="accent1" w:themeShade="BF"/>
    </w:rPr>
  </w:style>
  <w:style w:type="paragraph" w:styleId="IntenseQuote">
    <w:name w:val="Intense Quote"/>
    <w:basedOn w:val="Normal"/>
    <w:next w:val="Normal"/>
    <w:link w:val="IntenseQuoteChar"/>
    <w:uiPriority w:val="30"/>
    <w:qFormat/>
    <w:rsid w:val="00697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334"/>
    <w:rPr>
      <w:i/>
      <w:iCs/>
      <w:color w:val="0F4761" w:themeColor="accent1" w:themeShade="BF"/>
    </w:rPr>
  </w:style>
  <w:style w:type="character" w:styleId="IntenseReference">
    <w:name w:val="Intense Reference"/>
    <w:basedOn w:val="DefaultParagraphFont"/>
    <w:uiPriority w:val="32"/>
    <w:qFormat/>
    <w:rsid w:val="00697334"/>
    <w:rPr>
      <w:b/>
      <w:bCs/>
      <w:smallCaps/>
      <w:color w:val="0F4761" w:themeColor="accent1" w:themeShade="BF"/>
      <w:spacing w:val="5"/>
    </w:rPr>
  </w:style>
  <w:style w:type="paragraph" w:styleId="NormalWeb">
    <w:name w:val="Normal (Web)"/>
    <w:basedOn w:val="Normal"/>
    <w:uiPriority w:val="99"/>
    <w:semiHidden/>
    <w:unhideWhenUsed/>
    <w:rsid w:val="00697334"/>
    <w:rPr>
      <w:rFonts w:ascii="Aptos" w:hAnsi="Aptos" w:cs="Aptos"/>
      <w:kern w:val="0"/>
      <w14:ligatures w14:val="none"/>
    </w:rPr>
  </w:style>
  <w:style w:type="paragraph" w:customStyle="1" w:styleId="Default">
    <w:name w:val="Default"/>
    <w:basedOn w:val="Normal"/>
    <w:rsid w:val="00697334"/>
    <w:pPr>
      <w:autoSpaceDE w:val="0"/>
      <w:autoSpaceDN w:val="0"/>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969024">
      <w:bodyDiv w:val="1"/>
      <w:marLeft w:val="0"/>
      <w:marRight w:val="0"/>
      <w:marTop w:val="0"/>
      <w:marBottom w:val="0"/>
      <w:divBdr>
        <w:top w:val="none" w:sz="0" w:space="0" w:color="auto"/>
        <w:left w:val="none" w:sz="0" w:space="0" w:color="auto"/>
        <w:bottom w:val="none" w:sz="0" w:space="0" w:color="auto"/>
        <w:right w:val="none" w:sz="0" w:space="0" w:color="auto"/>
      </w:divBdr>
      <w:divsChild>
        <w:div w:id="214145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799612">
              <w:marLeft w:val="0"/>
              <w:marRight w:val="0"/>
              <w:marTop w:val="0"/>
              <w:marBottom w:val="0"/>
              <w:divBdr>
                <w:top w:val="none" w:sz="0" w:space="0" w:color="auto"/>
                <w:left w:val="none" w:sz="0" w:space="0" w:color="auto"/>
                <w:bottom w:val="none" w:sz="0" w:space="0" w:color="auto"/>
                <w:right w:val="none" w:sz="0" w:space="0" w:color="auto"/>
              </w:divBdr>
              <w:divsChild>
                <w:div w:id="94923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471439">
      <w:bodyDiv w:val="1"/>
      <w:marLeft w:val="0"/>
      <w:marRight w:val="0"/>
      <w:marTop w:val="0"/>
      <w:marBottom w:val="0"/>
      <w:divBdr>
        <w:top w:val="none" w:sz="0" w:space="0" w:color="auto"/>
        <w:left w:val="none" w:sz="0" w:space="0" w:color="auto"/>
        <w:bottom w:val="none" w:sz="0" w:space="0" w:color="auto"/>
        <w:right w:val="none" w:sz="0" w:space="0" w:color="auto"/>
      </w:divBdr>
      <w:divsChild>
        <w:div w:id="215971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384058">
              <w:marLeft w:val="0"/>
              <w:marRight w:val="0"/>
              <w:marTop w:val="0"/>
              <w:marBottom w:val="0"/>
              <w:divBdr>
                <w:top w:val="none" w:sz="0" w:space="0" w:color="auto"/>
                <w:left w:val="none" w:sz="0" w:space="0" w:color="auto"/>
                <w:bottom w:val="none" w:sz="0" w:space="0" w:color="auto"/>
                <w:right w:val="none" w:sz="0" w:space="0" w:color="auto"/>
              </w:divBdr>
              <w:divsChild>
                <w:div w:id="107745776">
                  <w:marLeft w:val="0"/>
                  <w:marRight w:val="0"/>
                  <w:marTop w:val="0"/>
                  <w:marBottom w:val="0"/>
                  <w:divBdr>
                    <w:top w:val="none" w:sz="0" w:space="0" w:color="auto"/>
                    <w:left w:val="none" w:sz="0" w:space="0" w:color="auto"/>
                    <w:bottom w:val="none" w:sz="0" w:space="0" w:color="auto"/>
                    <w:right w:val="none" w:sz="0" w:space="0" w:color="auto"/>
                  </w:divBdr>
                  <w:divsChild>
                    <w:div w:id="6623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441905">
      <w:bodyDiv w:val="1"/>
      <w:marLeft w:val="0"/>
      <w:marRight w:val="0"/>
      <w:marTop w:val="0"/>
      <w:marBottom w:val="0"/>
      <w:divBdr>
        <w:top w:val="none" w:sz="0" w:space="0" w:color="auto"/>
        <w:left w:val="none" w:sz="0" w:space="0" w:color="auto"/>
        <w:bottom w:val="none" w:sz="0" w:space="0" w:color="auto"/>
        <w:right w:val="none" w:sz="0" w:space="0" w:color="auto"/>
      </w:divBdr>
      <w:divsChild>
        <w:div w:id="1664122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5604421">
              <w:marLeft w:val="0"/>
              <w:marRight w:val="0"/>
              <w:marTop w:val="0"/>
              <w:marBottom w:val="0"/>
              <w:divBdr>
                <w:top w:val="none" w:sz="0" w:space="0" w:color="auto"/>
                <w:left w:val="none" w:sz="0" w:space="0" w:color="auto"/>
                <w:bottom w:val="none" w:sz="0" w:space="0" w:color="auto"/>
                <w:right w:val="none" w:sz="0" w:space="0" w:color="auto"/>
              </w:divBdr>
              <w:divsChild>
                <w:div w:id="1529224464">
                  <w:marLeft w:val="0"/>
                  <w:marRight w:val="0"/>
                  <w:marTop w:val="0"/>
                  <w:marBottom w:val="0"/>
                  <w:divBdr>
                    <w:top w:val="none" w:sz="0" w:space="0" w:color="auto"/>
                    <w:left w:val="none" w:sz="0" w:space="0" w:color="auto"/>
                    <w:bottom w:val="none" w:sz="0" w:space="0" w:color="auto"/>
                    <w:right w:val="none" w:sz="0" w:space="0" w:color="auto"/>
                  </w:divBdr>
                  <w:divsChild>
                    <w:div w:id="139554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252478">
      <w:bodyDiv w:val="1"/>
      <w:marLeft w:val="0"/>
      <w:marRight w:val="0"/>
      <w:marTop w:val="0"/>
      <w:marBottom w:val="0"/>
      <w:divBdr>
        <w:top w:val="none" w:sz="0" w:space="0" w:color="auto"/>
        <w:left w:val="none" w:sz="0" w:space="0" w:color="auto"/>
        <w:bottom w:val="none" w:sz="0" w:space="0" w:color="auto"/>
        <w:right w:val="none" w:sz="0" w:space="0" w:color="auto"/>
      </w:divBdr>
      <w:divsChild>
        <w:div w:id="4122405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903990">
              <w:marLeft w:val="0"/>
              <w:marRight w:val="0"/>
              <w:marTop w:val="0"/>
              <w:marBottom w:val="0"/>
              <w:divBdr>
                <w:top w:val="none" w:sz="0" w:space="0" w:color="auto"/>
                <w:left w:val="none" w:sz="0" w:space="0" w:color="auto"/>
                <w:bottom w:val="none" w:sz="0" w:space="0" w:color="auto"/>
                <w:right w:val="none" w:sz="0" w:space="0" w:color="auto"/>
              </w:divBdr>
              <w:divsChild>
                <w:div w:id="744759490">
                  <w:marLeft w:val="0"/>
                  <w:marRight w:val="0"/>
                  <w:marTop w:val="0"/>
                  <w:marBottom w:val="0"/>
                  <w:divBdr>
                    <w:top w:val="none" w:sz="0" w:space="0" w:color="auto"/>
                    <w:left w:val="none" w:sz="0" w:space="0" w:color="auto"/>
                    <w:bottom w:val="none" w:sz="0" w:space="0" w:color="auto"/>
                    <w:right w:val="none" w:sz="0" w:space="0" w:color="auto"/>
                  </w:divBdr>
                  <w:divsChild>
                    <w:div w:id="11438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022338">
      <w:bodyDiv w:val="1"/>
      <w:marLeft w:val="0"/>
      <w:marRight w:val="0"/>
      <w:marTop w:val="0"/>
      <w:marBottom w:val="0"/>
      <w:divBdr>
        <w:top w:val="none" w:sz="0" w:space="0" w:color="auto"/>
        <w:left w:val="none" w:sz="0" w:space="0" w:color="auto"/>
        <w:bottom w:val="none" w:sz="0" w:space="0" w:color="auto"/>
        <w:right w:val="none" w:sz="0" w:space="0" w:color="auto"/>
      </w:divBdr>
      <w:divsChild>
        <w:div w:id="68683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529864">
              <w:marLeft w:val="0"/>
              <w:marRight w:val="0"/>
              <w:marTop w:val="0"/>
              <w:marBottom w:val="0"/>
              <w:divBdr>
                <w:top w:val="none" w:sz="0" w:space="0" w:color="auto"/>
                <w:left w:val="none" w:sz="0" w:space="0" w:color="auto"/>
                <w:bottom w:val="none" w:sz="0" w:space="0" w:color="auto"/>
                <w:right w:val="none" w:sz="0" w:space="0" w:color="auto"/>
              </w:divBdr>
              <w:divsChild>
                <w:div w:id="1585604652">
                  <w:marLeft w:val="0"/>
                  <w:marRight w:val="0"/>
                  <w:marTop w:val="0"/>
                  <w:marBottom w:val="0"/>
                  <w:divBdr>
                    <w:top w:val="none" w:sz="0" w:space="0" w:color="auto"/>
                    <w:left w:val="none" w:sz="0" w:space="0" w:color="auto"/>
                    <w:bottom w:val="none" w:sz="0" w:space="0" w:color="auto"/>
                    <w:right w:val="none" w:sz="0" w:space="0" w:color="auto"/>
                  </w:divBdr>
                  <w:divsChild>
                    <w:div w:id="205704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442270">
      <w:bodyDiv w:val="1"/>
      <w:marLeft w:val="0"/>
      <w:marRight w:val="0"/>
      <w:marTop w:val="0"/>
      <w:marBottom w:val="0"/>
      <w:divBdr>
        <w:top w:val="none" w:sz="0" w:space="0" w:color="auto"/>
        <w:left w:val="none" w:sz="0" w:space="0" w:color="auto"/>
        <w:bottom w:val="none" w:sz="0" w:space="0" w:color="auto"/>
        <w:right w:val="none" w:sz="0" w:space="0" w:color="auto"/>
      </w:divBdr>
      <w:divsChild>
        <w:div w:id="1692683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2669774">
              <w:marLeft w:val="0"/>
              <w:marRight w:val="0"/>
              <w:marTop w:val="0"/>
              <w:marBottom w:val="0"/>
              <w:divBdr>
                <w:top w:val="none" w:sz="0" w:space="0" w:color="auto"/>
                <w:left w:val="none" w:sz="0" w:space="0" w:color="auto"/>
                <w:bottom w:val="none" w:sz="0" w:space="0" w:color="auto"/>
                <w:right w:val="none" w:sz="0" w:space="0" w:color="auto"/>
              </w:divBdr>
              <w:divsChild>
                <w:div w:id="1452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437062">
      <w:bodyDiv w:val="1"/>
      <w:marLeft w:val="0"/>
      <w:marRight w:val="0"/>
      <w:marTop w:val="0"/>
      <w:marBottom w:val="0"/>
      <w:divBdr>
        <w:top w:val="none" w:sz="0" w:space="0" w:color="auto"/>
        <w:left w:val="none" w:sz="0" w:space="0" w:color="auto"/>
        <w:bottom w:val="none" w:sz="0" w:space="0" w:color="auto"/>
        <w:right w:val="none" w:sz="0" w:space="0" w:color="auto"/>
      </w:divBdr>
      <w:divsChild>
        <w:div w:id="273562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308658">
              <w:marLeft w:val="0"/>
              <w:marRight w:val="0"/>
              <w:marTop w:val="0"/>
              <w:marBottom w:val="0"/>
              <w:divBdr>
                <w:top w:val="none" w:sz="0" w:space="0" w:color="auto"/>
                <w:left w:val="none" w:sz="0" w:space="0" w:color="auto"/>
                <w:bottom w:val="none" w:sz="0" w:space="0" w:color="auto"/>
                <w:right w:val="none" w:sz="0" w:space="0" w:color="auto"/>
              </w:divBdr>
              <w:divsChild>
                <w:div w:id="408117780">
                  <w:marLeft w:val="0"/>
                  <w:marRight w:val="0"/>
                  <w:marTop w:val="0"/>
                  <w:marBottom w:val="0"/>
                  <w:divBdr>
                    <w:top w:val="none" w:sz="0" w:space="0" w:color="auto"/>
                    <w:left w:val="none" w:sz="0" w:space="0" w:color="auto"/>
                    <w:bottom w:val="none" w:sz="0" w:space="0" w:color="auto"/>
                    <w:right w:val="none" w:sz="0" w:space="0" w:color="auto"/>
                  </w:divBdr>
                  <w:divsChild>
                    <w:div w:id="89739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117620">
      <w:bodyDiv w:val="1"/>
      <w:marLeft w:val="0"/>
      <w:marRight w:val="0"/>
      <w:marTop w:val="0"/>
      <w:marBottom w:val="0"/>
      <w:divBdr>
        <w:top w:val="none" w:sz="0" w:space="0" w:color="auto"/>
        <w:left w:val="none" w:sz="0" w:space="0" w:color="auto"/>
        <w:bottom w:val="none" w:sz="0" w:space="0" w:color="auto"/>
        <w:right w:val="none" w:sz="0" w:space="0" w:color="auto"/>
      </w:divBdr>
      <w:divsChild>
        <w:div w:id="2451929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7417039">
              <w:marLeft w:val="0"/>
              <w:marRight w:val="0"/>
              <w:marTop w:val="0"/>
              <w:marBottom w:val="0"/>
              <w:divBdr>
                <w:top w:val="none" w:sz="0" w:space="0" w:color="auto"/>
                <w:left w:val="none" w:sz="0" w:space="0" w:color="auto"/>
                <w:bottom w:val="none" w:sz="0" w:space="0" w:color="auto"/>
                <w:right w:val="none" w:sz="0" w:space="0" w:color="auto"/>
              </w:divBdr>
              <w:divsChild>
                <w:div w:id="27612061">
                  <w:marLeft w:val="0"/>
                  <w:marRight w:val="0"/>
                  <w:marTop w:val="0"/>
                  <w:marBottom w:val="0"/>
                  <w:divBdr>
                    <w:top w:val="none" w:sz="0" w:space="0" w:color="auto"/>
                    <w:left w:val="none" w:sz="0" w:space="0" w:color="auto"/>
                    <w:bottom w:val="none" w:sz="0" w:space="0" w:color="auto"/>
                    <w:right w:val="none" w:sz="0" w:space="0" w:color="auto"/>
                  </w:divBdr>
                  <w:divsChild>
                    <w:div w:id="176537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2686">
      <w:bodyDiv w:val="1"/>
      <w:marLeft w:val="0"/>
      <w:marRight w:val="0"/>
      <w:marTop w:val="0"/>
      <w:marBottom w:val="0"/>
      <w:divBdr>
        <w:top w:val="none" w:sz="0" w:space="0" w:color="auto"/>
        <w:left w:val="none" w:sz="0" w:space="0" w:color="auto"/>
        <w:bottom w:val="none" w:sz="0" w:space="0" w:color="auto"/>
        <w:right w:val="none" w:sz="0" w:space="0" w:color="auto"/>
      </w:divBdr>
      <w:divsChild>
        <w:div w:id="702829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120970">
              <w:marLeft w:val="0"/>
              <w:marRight w:val="0"/>
              <w:marTop w:val="0"/>
              <w:marBottom w:val="0"/>
              <w:divBdr>
                <w:top w:val="none" w:sz="0" w:space="0" w:color="auto"/>
                <w:left w:val="none" w:sz="0" w:space="0" w:color="auto"/>
                <w:bottom w:val="none" w:sz="0" w:space="0" w:color="auto"/>
                <w:right w:val="none" w:sz="0" w:space="0" w:color="auto"/>
              </w:divBdr>
              <w:divsChild>
                <w:div w:id="1258445965">
                  <w:marLeft w:val="0"/>
                  <w:marRight w:val="0"/>
                  <w:marTop w:val="0"/>
                  <w:marBottom w:val="0"/>
                  <w:divBdr>
                    <w:top w:val="none" w:sz="0" w:space="0" w:color="auto"/>
                    <w:left w:val="none" w:sz="0" w:space="0" w:color="auto"/>
                    <w:bottom w:val="none" w:sz="0" w:space="0" w:color="auto"/>
                    <w:right w:val="none" w:sz="0" w:space="0" w:color="auto"/>
                  </w:divBdr>
                  <w:divsChild>
                    <w:div w:id="15060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146466">
      <w:bodyDiv w:val="1"/>
      <w:marLeft w:val="0"/>
      <w:marRight w:val="0"/>
      <w:marTop w:val="0"/>
      <w:marBottom w:val="0"/>
      <w:divBdr>
        <w:top w:val="none" w:sz="0" w:space="0" w:color="auto"/>
        <w:left w:val="none" w:sz="0" w:space="0" w:color="auto"/>
        <w:bottom w:val="none" w:sz="0" w:space="0" w:color="auto"/>
        <w:right w:val="none" w:sz="0" w:space="0" w:color="auto"/>
      </w:divBdr>
      <w:divsChild>
        <w:div w:id="835731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8967597">
              <w:marLeft w:val="0"/>
              <w:marRight w:val="0"/>
              <w:marTop w:val="0"/>
              <w:marBottom w:val="0"/>
              <w:divBdr>
                <w:top w:val="none" w:sz="0" w:space="0" w:color="auto"/>
                <w:left w:val="none" w:sz="0" w:space="0" w:color="auto"/>
                <w:bottom w:val="none" w:sz="0" w:space="0" w:color="auto"/>
                <w:right w:val="none" w:sz="0" w:space="0" w:color="auto"/>
              </w:divBdr>
              <w:divsChild>
                <w:div w:id="1500998832">
                  <w:marLeft w:val="0"/>
                  <w:marRight w:val="0"/>
                  <w:marTop w:val="0"/>
                  <w:marBottom w:val="0"/>
                  <w:divBdr>
                    <w:top w:val="none" w:sz="0" w:space="0" w:color="auto"/>
                    <w:left w:val="none" w:sz="0" w:space="0" w:color="auto"/>
                    <w:bottom w:val="none" w:sz="0" w:space="0" w:color="auto"/>
                    <w:right w:val="none" w:sz="0" w:space="0" w:color="auto"/>
                  </w:divBdr>
                  <w:divsChild>
                    <w:div w:id="58696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581862">
      <w:bodyDiv w:val="1"/>
      <w:marLeft w:val="0"/>
      <w:marRight w:val="0"/>
      <w:marTop w:val="0"/>
      <w:marBottom w:val="0"/>
      <w:divBdr>
        <w:top w:val="none" w:sz="0" w:space="0" w:color="auto"/>
        <w:left w:val="none" w:sz="0" w:space="0" w:color="auto"/>
        <w:bottom w:val="none" w:sz="0" w:space="0" w:color="auto"/>
        <w:right w:val="none" w:sz="0" w:space="0" w:color="auto"/>
      </w:divBdr>
      <w:divsChild>
        <w:div w:id="323821639">
          <w:marLeft w:val="0"/>
          <w:marRight w:val="0"/>
          <w:marTop w:val="0"/>
          <w:marBottom w:val="0"/>
          <w:divBdr>
            <w:top w:val="none" w:sz="0" w:space="0" w:color="auto"/>
            <w:left w:val="none" w:sz="0" w:space="0" w:color="auto"/>
            <w:bottom w:val="none" w:sz="0" w:space="0" w:color="auto"/>
            <w:right w:val="none" w:sz="0" w:space="0" w:color="auto"/>
          </w:divBdr>
          <w:divsChild>
            <w:div w:id="1260480273">
              <w:marLeft w:val="0"/>
              <w:marRight w:val="0"/>
              <w:marTop w:val="0"/>
              <w:marBottom w:val="0"/>
              <w:divBdr>
                <w:top w:val="none" w:sz="0" w:space="0" w:color="auto"/>
                <w:left w:val="none" w:sz="0" w:space="0" w:color="auto"/>
                <w:bottom w:val="none" w:sz="0" w:space="0" w:color="auto"/>
                <w:right w:val="none" w:sz="0" w:space="0" w:color="auto"/>
              </w:divBdr>
              <w:divsChild>
                <w:div w:id="764233646">
                  <w:marLeft w:val="0"/>
                  <w:marRight w:val="0"/>
                  <w:marTop w:val="0"/>
                  <w:marBottom w:val="0"/>
                  <w:divBdr>
                    <w:top w:val="none" w:sz="0" w:space="0" w:color="auto"/>
                    <w:left w:val="none" w:sz="0" w:space="0" w:color="auto"/>
                    <w:bottom w:val="none" w:sz="0" w:space="0" w:color="auto"/>
                    <w:right w:val="none" w:sz="0" w:space="0" w:color="auto"/>
                  </w:divBdr>
                </w:div>
                <w:div w:id="1896235670">
                  <w:marLeft w:val="0"/>
                  <w:marRight w:val="0"/>
                  <w:marTop w:val="0"/>
                  <w:marBottom w:val="0"/>
                  <w:divBdr>
                    <w:top w:val="none" w:sz="0" w:space="0" w:color="auto"/>
                    <w:left w:val="none" w:sz="0" w:space="0" w:color="auto"/>
                    <w:bottom w:val="none" w:sz="0" w:space="0" w:color="auto"/>
                    <w:right w:val="none" w:sz="0" w:space="0" w:color="auto"/>
                  </w:divBdr>
                </w:div>
                <w:div w:id="345400056">
                  <w:marLeft w:val="0"/>
                  <w:marRight w:val="0"/>
                  <w:marTop w:val="0"/>
                  <w:marBottom w:val="0"/>
                  <w:divBdr>
                    <w:top w:val="none" w:sz="0" w:space="0" w:color="auto"/>
                    <w:left w:val="none" w:sz="0" w:space="0" w:color="auto"/>
                    <w:bottom w:val="none" w:sz="0" w:space="0" w:color="auto"/>
                    <w:right w:val="none" w:sz="0" w:space="0" w:color="auto"/>
                  </w:divBdr>
                </w:div>
                <w:div w:id="1872182229">
                  <w:marLeft w:val="0"/>
                  <w:marRight w:val="0"/>
                  <w:marTop w:val="0"/>
                  <w:marBottom w:val="0"/>
                  <w:divBdr>
                    <w:top w:val="none" w:sz="0" w:space="0" w:color="auto"/>
                    <w:left w:val="none" w:sz="0" w:space="0" w:color="auto"/>
                    <w:bottom w:val="none" w:sz="0" w:space="0" w:color="auto"/>
                    <w:right w:val="none" w:sz="0" w:space="0" w:color="auto"/>
                  </w:divBdr>
                </w:div>
                <w:div w:id="80949869">
                  <w:marLeft w:val="0"/>
                  <w:marRight w:val="0"/>
                  <w:marTop w:val="0"/>
                  <w:marBottom w:val="0"/>
                  <w:divBdr>
                    <w:top w:val="none" w:sz="0" w:space="0" w:color="auto"/>
                    <w:left w:val="none" w:sz="0" w:space="0" w:color="auto"/>
                    <w:bottom w:val="none" w:sz="0" w:space="0" w:color="auto"/>
                    <w:right w:val="none" w:sz="0" w:space="0" w:color="auto"/>
                  </w:divBdr>
                </w:div>
                <w:div w:id="6097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144533">
      <w:bodyDiv w:val="1"/>
      <w:marLeft w:val="0"/>
      <w:marRight w:val="0"/>
      <w:marTop w:val="0"/>
      <w:marBottom w:val="0"/>
      <w:divBdr>
        <w:top w:val="none" w:sz="0" w:space="0" w:color="auto"/>
        <w:left w:val="none" w:sz="0" w:space="0" w:color="auto"/>
        <w:bottom w:val="none" w:sz="0" w:space="0" w:color="auto"/>
        <w:right w:val="none" w:sz="0" w:space="0" w:color="auto"/>
      </w:divBdr>
      <w:divsChild>
        <w:div w:id="1727870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958769">
              <w:marLeft w:val="0"/>
              <w:marRight w:val="0"/>
              <w:marTop w:val="0"/>
              <w:marBottom w:val="0"/>
              <w:divBdr>
                <w:top w:val="none" w:sz="0" w:space="0" w:color="auto"/>
                <w:left w:val="none" w:sz="0" w:space="0" w:color="auto"/>
                <w:bottom w:val="none" w:sz="0" w:space="0" w:color="auto"/>
                <w:right w:val="none" w:sz="0" w:space="0" w:color="auto"/>
              </w:divBdr>
              <w:divsChild>
                <w:div w:id="1756827760">
                  <w:marLeft w:val="0"/>
                  <w:marRight w:val="0"/>
                  <w:marTop w:val="0"/>
                  <w:marBottom w:val="0"/>
                  <w:divBdr>
                    <w:top w:val="none" w:sz="0" w:space="0" w:color="auto"/>
                    <w:left w:val="none" w:sz="0" w:space="0" w:color="auto"/>
                    <w:bottom w:val="none" w:sz="0" w:space="0" w:color="auto"/>
                    <w:right w:val="none" w:sz="0" w:space="0" w:color="auto"/>
                  </w:divBdr>
                  <w:divsChild>
                    <w:div w:id="169904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755683">
      <w:bodyDiv w:val="1"/>
      <w:marLeft w:val="0"/>
      <w:marRight w:val="0"/>
      <w:marTop w:val="0"/>
      <w:marBottom w:val="0"/>
      <w:divBdr>
        <w:top w:val="none" w:sz="0" w:space="0" w:color="auto"/>
        <w:left w:val="none" w:sz="0" w:space="0" w:color="auto"/>
        <w:bottom w:val="none" w:sz="0" w:space="0" w:color="auto"/>
        <w:right w:val="none" w:sz="0" w:space="0" w:color="auto"/>
      </w:divBdr>
      <w:divsChild>
        <w:div w:id="223296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037559">
              <w:marLeft w:val="0"/>
              <w:marRight w:val="0"/>
              <w:marTop w:val="0"/>
              <w:marBottom w:val="0"/>
              <w:divBdr>
                <w:top w:val="none" w:sz="0" w:space="0" w:color="auto"/>
                <w:left w:val="none" w:sz="0" w:space="0" w:color="auto"/>
                <w:bottom w:val="none" w:sz="0" w:space="0" w:color="auto"/>
                <w:right w:val="none" w:sz="0" w:space="0" w:color="auto"/>
              </w:divBdr>
              <w:divsChild>
                <w:div w:id="205795034">
                  <w:marLeft w:val="0"/>
                  <w:marRight w:val="0"/>
                  <w:marTop w:val="0"/>
                  <w:marBottom w:val="0"/>
                  <w:divBdr>
                    <w:top w:val="none" w:sz="0" w:space="0" w:color="auto"/>
                    <w:left w:val="none" w:sz="0" w:space="0" w:color="auto"/>
                    <w:bottom w:val="none" w:sz="0" w:space="0" w:color="auto"/>
                    <w:right w:val="none" w:sz="0" w:space="0" w:color="auto"/>
                  </w:divBdr>
                  <w:divsChild>
                    <w:div w:id="10661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4315">
      <w:bodyDiv w:val="1"/>
      <w:marLeft w:val="0"/>
      <w:marRight w:val="0"/>
      <w:marTop w:val="0"/>
      <w:marBottom w:val="0"/>
      <w:divBdr>
        <w:top w:val="none" w:sz="0" w:space="0" w:color="auto"/>
        <w:left w:val="none" w:sz="0" w:space="0" w:color="auto"/>
        <w:bottom w:val="none" w:sz="0" w:space="0" w:color="auto"/>
        <w:right w:val="none" w:sz="0" w:space="0" w:color="auto"/>
      </w:divBdr>
      <w:divsChild>
        <w:div w:id="605699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021253">
              <w:marLeft w:val="0"/>
              <w:marRight w:val="0"/>
              <w:marTop w:val="0"/>
              <w:marBottom w:val="0"/>
              <w:divBdr>
                <w:top w:val="none" w:sz="0" w:space="0" w:color="auto"/>
                <w:left w:val="none" w:sz="0" w:space="0" w:color="auto"/>
                <w:bottom w:val="none" w:sz="0" w:space="0" w:color="auto"/>
                <w:right w:val="none" w:sz="0" w:space="0" w:color="auto"/>
              </w:divBdr>
              <w:divsChild>
                <w:div w:id="1872647570">
                  <w:marLeft w:val="0"/>
                  <w:marRight w:val="0"/>
                  <w:marTop w:val="0"/>
                  <w:marBottom w:val="0"/>
                  <w:divBdr>
                    <w:top w:val="none" w:sz="0" w:space="0" w:color="auto"/>
                    <w:left w:val="none" w:sz="0" w:space="0" w:color="auto"/>
                    <w:bottom w:val="none" w:sz="0" w:space="0" w:color="auto"/>
                    <w:right w:val="none" w:sz="0" w:space="0" w:color="auto"/>
                  </w:divBdr>
                  <w:divsChild>
                    <w:div w:id="18033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257378">
      <w:bodyDiv w:val="1"/>
      <w:marLeft w:val="0"/>
      <w:marRight w:val="0"/>
      <w:marTop w:val="0"/>
      <w:marBottom w:val="0"/>
      <w:divBdr>
        <w:top w:val="none" w:sz="0" w:space="0" w:color="auto"/>
        <w:left w:val="none" w:sz="0" w:space="0" w:color="auto"/>
        <w:bottom w:val="none" w:sz="0" w:space="0" w:color="auto"/>
        <w:right w:val="none" w:sz="0" w:space="0" w:color="auto"/>
      </w:divBdr>
      <w:divsChild>
        <w:div w:id="276840311">
          <w:marLeft w:val="0"/>
          <w:marRight w:val="0"/>
          <w:marTop w:val="0"/>
          <w:marBottom w:val="0"/>
          <w:divBdr>
            <w:top w:val="none" w:sz="0" w:space="0" w:color="auto"/>
            <w:left w:val="none" w:sz="0" w:space="0" w:color="auto"/>
            <w:bottom w:val="none" w:sz="0" w:space="0" w:color="auto"/>
            <w:right w:val="none" w:sz="0" w:space="0" w:color="auto"/>
          </w:divBdr>
          <w:divsChild>
            <w:div w:id="800535212">
              <w:marLeft w:val="0"/>
              <w:marRight w:val="0"/>
              <w:marTop w:val="0"/>
              <w:marBottom w:val="0"/>
              <w:divBdr>
                <w:top w:val="none" w:sz="0" w:space="0" w:color="auto"/>
                <w:left w:val="none" w:sz="0" w:space="0" w:color="auto"/>
                <w:bottom w:val="none" w:sz="0" w:space="0" w:color="auto"/>
                <w:right w:val="none" w:sz="0" w:space="0" w:color="auto"/>
              </w:divBdr>
              <w:divsChild>
                <w:div w:id="669677098">
                  <w:marLeft w:val="0"/>
                  <w:marRight w:val="0"/>
                  <w:marTop w:val="0"/>
                  <w:marBottom w:val="0"/>
                  <w:divBdr>
                    <w:top w:val="none" w:sz="0" w:space="0" w:color="auto"/>
                    <w:left w:val="none" w:sz="0" w:space="0" w:color="auto"/>
                    <w:bottom w:val="none" w:sz="0" w:space="0" w:color="auto"/>
                    <w:right w:val="none" w:sz="0" w:space="0" w:color="auto"/>
                  </w:divBdr>
                </w:div>
                <w:div w:id="1591889116">
                  <w:marLeft w:val="0"/>
                  <w:marRight w:val="0"/>
                  <w:marTop w:val="0"/>
                  <w:marBottom w:val="0"/>
                  <w:divBdr>
                    <w:top w:val="none" w:sz="0" w:space="0" w:color="auto"/>
                    <w:left w:val="none" w:sz="0" w:space="0" w:color="auto"/>
                    <w:bottom w:val="none" w:sz="0" w:space="0" w:color="auto"/>
                    <w:right w:val="none" w:sz="0" w:space="0" w:color="auto"/>
                  </w:divBdr>
                </w:div>
                <w:div w:id="537474910">
                  <w:marLeft w:val="0"/>
                  <w:marRight w:val="0"/>
                  <w:marTop w:val="0"/>
                  <w:marBottom w:val="0"/>
                  <w:divBdr>
                    <w:top w:val="none" w:sz="0" w:space="0" w:color="auto"/>
                    <w:left w:val="none" w:sz="0" w:space="0" w:color="auto"/>
                    <w:bottom w:val="none" w:sz="0" w:space="0" w:color="auto"/>
                    <w:right w:val="none" w:sz="0" w:space="0" w:color="auto"/>
                  </w:divBdr>
                </w:div>
                <w:div w:id="977800755">
                  <w:marLeft w:val="0"/>
                  <w:marRight w:val="0"/>
                  <w:marTop w:val="0"/>
                  <w:marBottom w:val="0"/>
                  <w:divBdr>
                    <w:top w:val="none" w:sz="0" w:space="0" w:color="auto"/>
                    <w:left w:val="none" w:sz="0" w:space="0" w:color="auto"/>
                    <w:bottom w:val="none" w:sz="0" w:space="0" w:color="auto"/>
                    <w:right w:val="none" w:sz="0" w:space="0" w:color="auto"/>
                  </w:divBdr>
                </w:div>
                <w:div w:id="946886447">
                  <w:marLeft w:val="0"/>
                  <w:marRight w:val="0"/>
                  <w:marTop w:val="0"/>
                  <w:marBottom w:val="0"/>
                  <w:divBdr>
                    <w:top w:val="none" w:sz="0" w:space="0" w:color="auto"/>
                    <w:left w:val="none" w:sz="0" w:space="0" w:color="auto"/>
                    <w:bottom w:val="none" w:sz="0" w:space="0" w:color="auto"/>
                    <w:right w:val="none" w:sz="0" w:space="0" w:color="auto"/>
                  </w:divBdr>
                </w:div>
                <w:div w:id="104636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872985">
      <w:bodyDiv w:val="1"/>
      <w:marLeft w:val="0"/>
      <w:marRight w:val="0"/>
      <w:marTop w:val="0"/>
      <w:marBottom w:val="0"/>
      <w:divBdr>
        <w:top w:val="none" w:sz="0" w:space="0" w:color="auto"/>
        <w:left w:val="none" w:sz="0" w:space="0" w:color="auto"/>
        <w:bottom w:val="none" w:sz="0" w:space="0" w:color="auto"/>
        <w:right w:val="none" w:sz="0" w:space="0" w:color="auto"/>
      </w:divBdr>
      <w:divsChild>
        <w:div w:id="16888282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587043">
              <w:marLeft w:val="0"/>
              <w:marRight w:val="0"/>
              <w:marTop w:val="0"/>
              <w:marBottom w:val="0"/>
              <w:divBdr>
                <w:top w:val="none" w:sz="0" w:space="0" w:color="auto"/>
                <w:left w:val="none" w:sz="0" w:space="0" w:color="auto"/>
                <w:bottom w:val="none" w:sz="0" w:space="0" w:color="auto"/>
                <w:right w:val="none" w:sz="0" w:space="0" w:color="auto"/>
              </w:divBdr>
              <w:divsChild>
                <w:div w:id="822507125">
                  <w:marLeft w:val="0"/>
                  <w:marRight w:val="0"/>
                  <w:marTop w:val="0"/>
                  <w:marBottom w:val="0"/>
                  <w:divBdr>
                    <w:top w:val="none" w:sz="0" w:space="0" w:color="auto"/>
                    <w:left w:val="none" w:sz="0" w:space="0" w:color="auto"/>
                    <w:bottom w:val="none" w:sz="0" w:space="0" w:color="auto"/>
                    <w:right w:val="none" w:sz="0" w:space="0" w:color="auto"/>
                  </w:divBdr>
                  <w:divsChild>
                    <w:div w:id="84439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805125">
      <w:bodyDiv w:val="1"/>
      <w:marLeft w:val="0"/>
      <w:marRight w:val="0"/>
      <w:marTop w:val="0"/>
      <w:marBottom w:val="0"/>
      <w:divBdr>
        <w:top w:val="none" w:sz="0" w:space="0" w:color="auto"/>
        <w:left w:val="none" w:sz="0" w:space="0" w:color="auto"/>
        <w:bottom w:val="none" w:sz="0" w:space="0" w:color="auto"/>
        <w:right w:val="none" w:sz="0" w:space="0" w:color="auto"/>
      </w:divBdr>
      <w:divsChild>
        <w:div w:id="6494092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210943">
              <w:marLeft w:val="0"/>
              <w:marRight w:val="0"/>
              <w:marTop w:val="0"/>
              <w:marBottom w:val="0"/>
              <w:divBdr>
                <w:top w:val="none" w:sz="0" w:space="0" w:color="auto"/>
                <w:left w:val="none" w:sz="0" w:space="0" w:color="auto"/>
                <w:bottom w:val="none" w:sz="0" w:space="0" w:color="auto"/>
                <w:right w:val="none" w:sz="0" w:space="0" w:color="auto"/>
              </w:divBdr>
              <w:divsChild>
                <w:div w:id="302203370">
                  <w:marLeft w:val="0"/>
                  <w:marRight w:val="0"/>
                  <w:marTop w:val="0"/>
                  <w:marBottom w:val="0"/>
                  <w:divBdr>
                    <w:top w:val="none" w:sz="0" w:space="0" w:color="auto"/>
                    <w:left w:val="none" w:sz="0" w:space="0" w:color="auto"/>
                    <w:bottom w:val="none" w:sz="0" w:space="0" w:color="auto"/>
                    <w:right w:val="none" w:sz="0" w:space="0" w:color="auto"/>
                  </w:divBdr>
                  <w:divsChild>
                    <w:div w:id="1349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71484">
      <w:bodyDiv w:val="1"/>
      <w:marLeft w:val="0"/>
      <w:marRight w:val="0"/>
      <w:marTop w:val="0"/>
      <w:marBottom w:val="0"/>
      <w:divBdr>
        <w:top w:val="none" w:sz="0" w:space="0" w:color="auto"/>
        <w:left w:val="none" w:sz="0" w:space="0" w:color="auto"/>
        <w:bottom w:val="none" w:sz="0" w:space="0" w:color="auto"/>
        <w:right w:val="none" w:sz="0" w:space="0" w:color="auto"/>
      </w:divBdr>
      <w:divsChild>
        <w:div w:id="746464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980704">
              <w:marLeft w:val="0"/>
              <w:marRight w:val="0"/>
              <w:marTop w:val="0"/>
              <w:marBottom w:val="0"/>
              <w:divBdr>
                <w:top w:val="none" w:sz="0" w:space="0" w:color="auto"/>
                <w:left w:val="none" w:sz="0" w:space="0" w:color="auto"/>
                <w:bottom w:val="none" w:sz="0" w:space="0" w:color="auto"/>
                <w:right w:val="none" w:sz="0" w:space="0" w:color="auto"/>
              </w:divBdr>
              <w:divsChild>
                <w:div w:id="1231311056">
                  <w:marLeft w:val="0"/>
                  <w:marRight w:val="0"/>
                  <w:marTop w:val="0"/>
                  <w:marBottom w:val="0"/>
                  <w:divBdr>
                    <w:top w:val="none" w:sz="0" w:space="0" w:color="auto"/>
                    <w:left w:val="none" w:sz="0" w:space="0" w:color="auto"/>
                    <w:bottom w:val="none" w:sz="0" w:space="0" w:color="auto"/>
                    <w:right w:val="none" w:sz="0" w:space="0" w:color="auto"/>
                  </w:divBdr>
                  <w:divsChild>
                    <w:div w:id="1293246119">
                      <w:marLeft w:val="0"/>
                      <w:marRight w:val="0"/>
                      <w:marTop w:val="0"/>
                      <w:marBottom w:val="0"/>
                      <w:divBdr>
                        <w:top w:val="none" w:sz="0" w:space="0" w:color="auto"/>
                        <w:left w:val="none" w:sz="0" w:space="0" w:color="auto"/>
                        <w:bottom w:val="none" w:sz="0" w:space="0" w:color="auto"/>
                        <w:right w:val="none" w:sz="0" w:space="0" w:color="auto"/>
                      </w:divBdr>
                      <w:divsChild>
                        <w:div w:id="20696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189554">
      <w:bodyDiv w:val="1"/>
      <w:marLeft w:val="0"/>
      <w:marRight w:val="0"/>
      <w:marTop w:val="0"/>
      <w:marBottom w:val="0"/>
      <w:divBdr>
        <w:top w:val="none" w:sz="0" w:space="0" w:color="auto"/>
        <w:left w:val="none" w:sz="0" w:space="0" w:color="auto"/>
        <w:bottom w:val="none" w:sz="0" w:space="0" w:color="auto"/>
        <w:right w:val="none" w:sz="0" w:space="0" w:color="auto"/>
      </w:divBdr>
      <w:divsChild>
        <w:div w:id="1346244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7120722">
              <w:marLeft w:val="0"/>
              <w:marRight w:val="0"/>
              <w:marTop w:val="0"/>
              <w:marBottom w:val="0"/>
              <w:divBdr>
                <w:top w:val="none" w:sz="0" w:space="0" w:color="auto"/>
                <w:left w:val="none" w:sz="0" w:space="0" w:color="auto"/>
                <w:bottom w:val="none" w:sz="0" w:space="0" w:color="auto"/>
                <w:right w:val="none" w:sz="0" w:space="0" w:color="auto"/>
              </w:divBdr>
              <w:divsChild>
                <w:div w:id="1646623949">
                  <w:marLeft w:val="0"/>
                  <w:marRight w:val="0"/>
                  <w:marTop w:val="0"/>
                  <w:marBottom w:val="0"/>
                  <w:divBdr>
                    <w:top w:val="none" w:sz="0" w:space="0" w:color="auto"/>
                    <w:left w:val="none" w:sz="0" w:space="0" w:color="auto"/>
                    <w:bottom w:val="none" w:sz="0" w:space="0" w:color="auto"/>
                    <w:right w:val="none" w:sz="0" w:space="0" w:color="auto"/>
                  </w:divBdr>
                  <w:divsChild>
                    <w:div w:id="48039465">
                      <w:marLeft w:val="0"/>
                      <w:marRight w:val="0"/>
                      <w:marTop w:val="0"/>
                      <w:marBottom w:val="0"/>
                      <w:divBdr>
                        <w:top w:val="none" w:sz="0" w:space="0" w:color="auto"/>
                        <w:left w:val="none" w:sz="0" w:space="0" w:color="auto"/>
                        <w:bottom w:val="none" w:sz="0" w:space="0" w:color="auto"/>
                        <w:right w:val="none" w:sz="0" w:space="0" w:color="auto"/>
                      </w:divBdr>
                      <w:divsChild>
                        <w:div w:id="177956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748425">
      <w:bodyDiv w:val="1"/>
      <w:marLeft w:val="0"/>
      <w:marRight w:val="0"/>
      <w:marTop w:val="0"/>
      <w:marBottom w:val="0"/>
      <w:divBdr>
        <w:top w:val="none" w:sz="0" w:space="0" w:color="auto"/>
        <w:left w:val="none" w:sz="0" w:space="0" w:color="auto"/>
        <w:bottom w:val="none" w:sz="0" w:space="0" w:color="auto"/>
        <w:right w:val="none" w:sz="0" w:space="0" w:color="auto"/>
      </w:divBdr>
      <w:divsChild>
        <w:div w:id="1795098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3525912">
              <w:marLeft w:val="0"/>
              <w:marRight w:val="0"/>
              <w:marTop w:val="0"/>
              <w:marBottom w:val="0"/>
              <w:divBdr>
                <w:top w:val="none" w:sz="0" w:space="0" w:color="auto"/>
                <w:left w:val="none" w:sz="0" w:space="0" w:color="auto"/>
                <w:bottom w:val="none" w:sz="0" w:space="0" w:color="auto"/>
                <w:right w:val="none" w:sz="0" w:space="0" w:color="auto"/>
              </w:divBdr>
              <w:divsChild>
                <w:div w:id="1190603687">
                  <w:marLeft w:val="0"/>
                  <w:marRight w:val="0"/>
                  <w:marTop w:val="0"/>
                  <w:marBottom w:val="0"/>
                  <w:divBdr>
                    <w:top w:val="none" w:sz="0" w:space="0" w:color="auto"/>
                    <w:left w:val="none" w:sz="0" w:space="0" w:color="auto"/>
                    <w:bottom w:val="none" w:sz="0" w:space="0" w:color="auto"/>
                    <w:right w:val="none" w:sz="0" w:space="0" w:color="auto"/>
                  </w:divBdr>
                  <w:divsChild>
                    <w:div w:id="12566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2369</Words>
  <Characters>13506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Guclu Atinc</dc:creator>
  <cp:keywords/>
  <dc:description/>
  <cp:lastModifiedBy>Guclu Atinc</cp:lastModifiedBy>
  <cp:revision>1</cp:revision>
  <dcterms:created xsi:type="dcterms:W3CDTF">2024-11-15T03:53:00Z</dcterms:created>
  <dcterms:modified xsi:type="dcterms:W3CDTF">2024-11-15T04:15:00Z</dcterms:modified>
</cp:coreProperties>
</file>