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6D0" w:rsidRDefault="00BB1BA5">
      <w:r>
        <w:t>Meeting 11-3-2015</w:t>
      </w:r>
      <w:r w:rsidR="006C1F89">
        <w:t xml:space="preserve"> – </w:t>
      </w:r>
      <w:proofErr w:type="spellStart"/>
      <w:r w:rsidR="006C1F89">
        <w:t>Distingued</w:t>
      </w:r>
      <w:proofErr w:type="spellEnd"/>
      <w:r w:rsidR="006C1F89">
        <w:t xml:space="preserve"> Speaker Series</w:t>
      </w:r>
    </w:p>
    <w:p w:rsidR="00BB1BA5" w:rsidRDefault="00BB1BA5">
      <w:r>
        <w:t>Guest Speaker: Rowena Zhang – Investment Manager for the City of Dallas</w:t>
      </w:r>
    </w:p>
    <w:p w:rsidR="00BB1BA5" w:rsidRDefault="00BB1BA5">
      <w:r>
        <w:t xml:space="preserve">Start: </w:t>
      </w:r>
      <w:r w:rsidR="006C1F89">
        <w:t>5:06</w:t>
      </w:r>
    </w:p>
    <w:p w:rsidR="006C1F89" w:rsidRDefault="006C1F89">
      <w:r>
        <w:t>Intro – CPA, CFA Level 3, 1.6$ Billion Jan, Audit Project Manager – City of Dallas, MBA - A&amp;M</w:t>
      </w:r>
    </w:p>
    <w:p w:rsidR="006C1F89" w:rsidRDefault="006C1F89">
      <w:r>
        <w:t>City of Dallas Investment Pool – An Overview PowerPoint</w:t>
      </w:r>
    </w:p>
    <w:p w:rsidR="006C1F89" w:rsidRDefault="006C1F89">
      <w:r>
        <w:t>High Level Introduction</w:t>
      </w:r>
      <w:r w:rsidR="00400051">
        <w:t xml:space="preserve"> – Fiscal Year end in September</w:t>
      </w:r>
    </w:p>
    <w:p w:rsidR="006C1F89" w:rsidRDefault="006C1F89" w:rsidP="006C1F89">
      <w:pPr>
        <w:pStyle w:val="ListParagraph"/>
        <w:numPr>
          <w:ilvl w:val="1"/>
          <w:numId w:val="1"/>
        </w:numPr>
      </w:pPr>
      <w:proofErr w:type="spellStart"/>
      <w:r>
        <w:t>Bil</w:t>
      </w:r>
      <w:proofErr w:type="spellEnd"/>
      <w:r>
        <w:t xml:space="preserve"> to 1.8 </w:t>
      </w:r>
      <w:proofErr w:type="spellStart"/>
      <w:r>
        <w:t>Bil</w:t>
      </w:r>
      <w:proofErr w:type="spellEnd"/>
      <w:r>
        <w:t>, monthly aver. of 1.6</w:t>
      </w:r>
      <w:r w:rsidR="00400051">
        <w:t xml:space="preserve"> – Purchases of 1.6 </w:t>
      </w:r>
      <w:proofErr w:type="spellStart"/>
      <w:r w:rsidR="00400051">
        <w:t>Bil</w:t>
      </w:r>
      <w:proofErr w:type="spellEnd"/>
      <w:r w:rsidR="00400051">
        <w:t xml:space="preserve"> a year</w:t>
      </w:r>
    </w:p>
    <w:p w:rsidR="006C1F89" w:rsidRDefault="006C1F89" w:rsidP="006C1F89">
      <w:pPr>
        <w:pStyle w:val="ListParagraph"/>
        <w:ind w:left="360"/>
      </w:pPr>
      <w:r>
        <w:t xml:space="preserve">1 </w:t>
      </w:r>
      <w:proofErr w:type="spellStart"/>
      <w:r>
        <w:t>Bil</w:t>
      </w:r>
      <w:proofErr w:type="spellEnd"/>
      <w:r>
        <w:t xml:space="preserve"> of US agency securities</w:t>
      </w:r>
    </w:p>
    <w:p w:rsidR="006C1F89" w:rsidRDefault="006C1F89" w:rsidP="006C1F89">
      <w:pPr>
        <w:pStyle w:val="ListParagraph"/>
        <w:ind w:left="360"/>
      </w:pPr>
      <w:r>
        <w:t>8.5 Mil investment earnings annually</w:t>
      </w:r>
    </w:p>
    <w:p w:rsidR="006C1F89" w:rsidRDefault="006C1F89" w:rsidP="006C1F89">
      <w:pPr>
        <w:pStyle w:val="ListParagraph"/>
        <w:ind w:left="360"/>
      </w:pPr>
      <w:r>
        <w:t>433 Mil of total debt service payment made</w:t>
      </w:r>
    </w:p>
    <w:p w:rsidR="006C1F89" w:rsidRDefault="006C1F89" w:rsidP="006C1F89">
      <w:pPr>
        <w:pStyle w:val="ListParagraph"/>
        <w:ind w:left="360"/>
      </w:pPr>
      <w:r>
        <w:t>15 investment banks and firms as broker/dealers</w:t>
      </w:r>
    </w:p>
    <w:p w:rsidR="006C1F89" w:rsidRDefault="006C1F89" w:rsidP="006C1F89">
      <w:r>
        <w:t>Major Sources of Funds</w:t>
      </w:r>
    </w:p>
    <w:p w:rsidR="00AE17B3" w:rsidRDefault="00AE17B3" w:rsidP="006C1F89">
      <w:pPr>
        <w:sectPr w:rsidR="00AE17B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C1F89" w:rsidRDefault="006C1F89" w:rsidP="006C1F89">
      <w:r>
        <w:lastRenderedPageBreak/>
        <w:t>40% Enterprise Fund – ex. Love Field owned by Dallas</w:t>
      </w:r>
    </w:p>
    <w:p w:rsidR="006C1F89" w:rsidRDefault="006C1F89" w:rsidP="006C1F89">
      <w:r>
        <w:t>30% Capital Projects Fund</w:t>
      </w:r>
      <w:r w:rsidR="00E62210">
        <w:t xml:space="preserve"> – street project, bond proceeds</w:t>
      </w:r>
    </w:p>
    <w:p w:rsidR="00E62210" w:rsidRDefault="00E62210" w:rsidP="006C1F89">
      <w:r>
        <w:lastRenderedPageBreak/>
        <w:t>20% General Funds – Daily ops, payroll</w:t>
      </w:r>
    </w:p>
    <w:p w:rsidR="00E62210" w:rsidRDefault="00E62210" w:rsidP="006C1F89">
      <w:r>
        <w:t>8% Special Revenue</w:t>
      </w:r>
    </w:p>
    <w:p w:rsidR="00AE17B3" w:rsidRDefault="00AE17B3" w:rsidP="006C1F89">
      <w:pPr>
        <w:sectPr w:rsidR="00AE17B3" w:rsidSect="00AE17B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62210" w:rsidRDefault="00E62210" w:rsidP="006C1F89">
      <w:r>
        <w:lastRenderedPageBreak/>
        <w:t>NOT Include: Bond Reserve Funds – Water, Convention Center</w:t>
      </w:r>
    </w:p>
    <w:p w:rsidR="00E62210" w:rsidRDefault="00E62210" w:rsidP="006C1F89">
      <w:r>
        <w:tab/>
        <w:t xml:space="preserve">Endowment Funds &amp; Private Donations – </w:t>
      </w:r>
      <w:proofErr w:type="gramStart"/>
      <w:r>
        <w:t>3 Mil for Art</w:t>
      </w:r>
      <w:proofErr w:type="gramEnd"/>
    </w:p>
    <w:p w:rsidR="00E62210" w:rsidRDefault="00E62210" w:rsidP="00E62210">
      <w:pPr>
        <w:ind w:firstLine="720"/>
      </w:pPr>
      <w:r>
        <w:t>Commercial Paper Funds</w:t>
      </w:r>
    </w:p>
    <w:p w:rsidR="00E62210" w:rsidRDefault="00E62210" w:rsidP="00E62210">
      <w:pPr>
        <w:ind w:firstLine="720"/>
      </w:pPr>
      <w:r>
        <w:t>Employees’ Retirement Fund</w:t>
      </w:r>
    </w:p>
    <w:p w:rsidR="00E62210" w:rsidRDefault="00E62210" w:rsidP="00E62210">
      <w:pPr>
        <w:ind w:firstLine="720"/>
      </w:pPr>
      <w:r>
        <w:t>Dallas Police and Fire Pension System</w:t>
      </w:r>
    </w:p>
    <w:p w:rsidR="00E62210" w:rsidRDefault="00E62210" w:rsidP="00E62210">
      <w:r>
        <w:t>These are all managed separately from the Investment Pool</w:t>
      </w:r>
    </w:p>
    <w:p w:rsidR="00E62210" w:rsidRDefault="00E62210" w:rsidP="00E62210">
      <w:r>
        <w:t>Governing Laws and Regulations – highly regulated</w:t>
      </w:r>
    </w:p>
    <w:p w:rsidR="00E62210" w:rsidRDefault="00E62210" w:rsidP="00E62210">
      <w:r>
        <w:t>PFIA – Public Funds Investment Act – have to be in compliance with</w:t>
      </w:r>
    </w:p>
    <w:p w:rsidR="00E62210" w:rsidRDefault="00E62210" w:rsidP="00E62210">
      <w:r>
        <w:t>City of Dallas Investment Policy</w:t>
      </w:r>
    </w:p>
    <w:p w:rsidR="00E62210" w:rsidRDefault="00E62210" w:rsidP="00E62210">
      <w:pPr>
        <w:pStyle w:val="ListParagraph"/>
        <w:numPr>
          <w:ilvl w:val="0"/>
          <w:numId w:val="2"/>
        </w:numPr>
      </w:pPr>
      <w:r>
        <w:t>Safety – Ensure the safety of principal, High level of risk aversion, low level of risk tolerance, (buy and hold strategy – unrealized gain/loss)</w:t>
      </w:r>
    </w:p>
    <w:p w:rsidR="00E62210" w:rsidRDefault="00E62210" w:rsidP="00E62210">
      <w:pPr>
        <w:pStyle w:val="ListParagraph"/>
        <w:numPr>
          <w:ilvl w:val="0"/>
          <w:numId w:val="2"/>
        </w:numPr>
      </w:pPr>
      <w:r>
        <w:t xml:space="preserve">Liquidity – Maintain daily liquidity, </w:t>
      </w:r>
      <w:proofErr w:type="gramStart"/>
      <w:r>
        <w:t>Anticipated</w:t>
      </w:r>
      <w:proofErr w:type="gramEnd"/>
      <w:r>
        <w:t xml:space="preserve"> cash flows matched with adequate invest. Liquidity, Dollar-weighted average maturity does not exceed 1.5 year</w:t>
      </w:r>
    </w:p>
    <w:p w:rsidR="00E62210" w:rsidRDefault="00E62210" w:rsidP="00E62210">
      <w:pPr>
        <w:pStyle w:val="ListParagraph"/>
        <w:numPr>
          <w:ilvl w:val="0"/>
          <w:numId w:val="2"/>
        </w:numPr>
      </w:pPr>
      <w:r>
        <w:lastRenderedPageBreak/>
        <w:t xml:space="preserve">Yield – Attain a market rate of return (don’t want risk), Yield comes </w:t>
      </w:r>
      <w:r w:rsidRPr="00E62210">
        <w:rPr>
          <w:b/>
          <w:u w:val="single"/>
        </w:rPr>
        <w:t>after</w:t>
      </w:r>
      <w:r>
        <w:t xml:space="preserve"> Safety and Liquidity</w:t>
      </w:r>
    </w:p>
    <w:p w:rsidR="00E62210" w:rsidRDefault="00E62210" w:rsidP="00E62210">
      <w:r>
        <w:t>1.  Safety – Risk Management</w:t>
      </w:r>
    </w:p>
    <w:p w:rsidR="00E62210" w:rsidRDefault="00E62210" w:rsidP="00E62210">
      <w:r>
        <w:t>Mitigating credit risk and interest rate risk (coupon rate = fixed, market interest rate change = danger) through</w:t>
      </w:r>
    </w:p>
    <w:p w:rsidR="00E62210" w:rsidRDefault="00E62210" w:rsidP="00E62210">
      <w:pPr>
        <w:pStyle w:val="ListParagraph"/>
        <w:numPr>
          <w:ilvl w:val="0"/>
          <w:numId w:val="6"/>
        </w:numPr>
      </w:pPr>
      <w:r>
        <w:t>Diversification</w:t>
      </w:r>
    </w:p>
    <w:p w:rsidR="00E62210" w:rsidRDefault="00E62210" w:rsidP="00E62210">
      <w:pPr>
        <w:pStyle w:val="ListParagraph"/>
        <w:numPr>
          <w:ilvl w:val="0"/>
          <w:numId w:val="6"/>
        </w:numPr>
      </w:pPr>
      <w:r>
        <w:t>Limiting investments to authorized types (US Agencies – Fannie Mae, MMMF – only AAA, Local Government Investment Pools, etc.)</w:t>
      </w:r>
    </w:p>
    <w:p w:rsidR="00E62210" w:rsidRDefault="00E62210" w:rsidP="00E62210">
      <w:pPr>
        <w:pStyle w:val="ListParagraph"/>
        <w:numPr>
          <w:ilvl w:val="0"/>
          <w:numId w:val="6"/>
        </w:numPr>
      </w:pPr>
      <w:r>
        <w:t>Buy and Hold strategies</w:t>
      </w:r>
      <w:r w:rsidR="00400051">
        <w:t xml:space="preserve"> – discussion of discount/premium – Hold-to-Maturity Bonds only </w:t>
      </w:r>
    </w:p>
    <w:p w:rsidR="00400051" w:rsidRDefault="00400051">
      <w:r>
        <w:t>Safety – Diversification</w:t>
      </w:r>
      <w:r w:rsidR="008711B7">
        <w:t xml:space="preserve"> – only 30% in </w:t>
      </w:r>
      <w:proofErr w:type="spellStart"/>
      <w:proofErr w:type="gramStart"/>
      <w:r w:rsidR="008711B7">
        <w:t>a</w:t>
      </w:r>
      <w:proofErr w:type="spellEnd"/>
      <w:proofErr w:type="gramEnd"/>
      <w:r w:rsidR="008711B7">
        <w:t xml:space="preserve"> equity</w:t>
      </w:r>
    </w:p>
    <w:p w:rsidR="00400051" w:rsidRDefault="00400051">
      <w:r>
        <w:t>102</w:t>
      </w:r>
      <w:proofErr w:type="gramStart"/>
      <w:r>
        <w:t>,73</w:t>
      </w:r>
      <w:proofErr w:type="gramEnd"/>
      <w:r>
        <w:t>, 177 – Bank Account, 1,391.1 – Agency Securities</w:t>
      </w:r>
    </w:p>
    <w:p w:rsidR="00400051" w:rsidRDefault="00400051">
      <w:r>
        <w:t>Direct obligations of US Agencies</w:t>
      </w:r>
    </w:p>
    <w:p w:rsidR="00400051" w:rsidRDefault="00400051" w:rsidP="00400051">
      <w:pPr>
        <w:pStyle w:val="ListParagraph"/>
        <w:numPr>
          <w:ilvl w:val="0"/>
          <w:numId w:val="7"/>
        </w:numPr>
      </w:pPr>
      <w:r>
        <w:t>Federal Ag Mort Corp</w:t>
      </w:r>
    </w:p>
    <w:p w:rsidR="00400051" w:rsidRDefault="00400051" w:rsidP="00400051">
      <w:pPr>
        <w:pStyle w:val="ListParagraph"/>
        <w:numPr>
          <w:ilvl w:val="0"/>
          <w:numId w:val="7"/>
        </w:numPr>
      </w:pPr>
      <w:r>
        <w:t>Freddie Mac</w:t>
      </w:r>
    </w:p>
    <w:p w:rsidR="00400051" w:rsidRDefault="00400051" w:rsidP="00400051">
      <w:pPr>
        <w:pStyle w:val="ListParagraph"/>
        <w:numPr>
          <w:ilvl w:val="0"/>
          <w:numId w:val="7"/>
        </w:numPr>
      </w:pPr>
      <w:proofErr w:type="spellStart"/>
      <w:r>
        <w:t>Frannie</w:t>
      </w:r>
      <w:proofErr w:type="spellEnd"/>
      <w:r>
        <w:t xml:space="preserve"> Mae</w:t>
      </w:r>
    </w:p>
    <w:p w:rsidR="00400051" w:rsidRDefault="00400051" w:rsidP="00400051">
      <w:r>
        <w:t>Liquidity</w:t>
      </w:r>
    </w:p>
    <w:p w:rsidR="00400051" w:rsidRDefault="00400051" w:rsidP="00400051">
      <w:r>
        <w:t>Cash Flow forecasting</w:t>
      </w:r>
    </w:p>
    <w:p w:rsidR="00400051" w:rsidRDefault="00400051" w:rsidP="00400051">
      <w:r>
        <w:t>Portfolio</w:t>
      </w:r>
    </w:p>
    <w:p w:rsidR="00400051" w:rsidRDefault="00400051" w:rsidP="00400051">
      <w:r>
        <w:t xml:space="preserve">Bottom – </w:t>
      </w:r>
      <w:proofErr w:type="spellStart"/>
      <w:r>
        <w:t>Deporsitory</w:t>
      </w:r>
      <w:proofErr w:type="spellEnd"/>
      <w:r>
        <w:t xml:space="preserve"> Banking Balances</w:t>
      </w:r>
    </w:p>
    <w:p w:rsidR="00400051" w:rsidRDefault="00400051" w:rsidP="00400051">
      <w:r>
        <w:t xml:space="preserve">US Agencies and Treasuries – No </w:t>
      </w:r>
      <w:proofErr w:type="spellStart"/>
      <w:r>
        <w:t>Tresury</w:t>
      </w:r>
      <w:proofErr w:type="spellEnd"/>
      <w:r>
        <w:t xml:space="preserve"> Bills anymore – Agencies give spread</w:t>
      </w:r>
    </w:p>
    <w:p w:rsidR="00400051" w:rsidRDefault="004848EC" w:rsidP="0040005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DD286" wp14:editId="7282372B">
                <wp:simplePos x="0" y="0"/>
                <wp:positionH relativeFrom="column">
                  <wp:posOffset>285750</wp:posOffset>
                </wp:positionH>
                <wp:positionV relativeFrom="paragraph">
                  <wp:posOffset>296545</wp:posOffset>
                </wp:positionV>
                <wp:extent cx="2211062" cy="228600"/>
                <wp:effectExtent l="0" t="0" r="37465" b="1905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062" cy="228600"/>
                        </a:xfrm>
                        <a:custGeom>
                          <a:avLst/>
                          <a:gdLst>
                            <a:gd name="connsiteX0" fmla="*/ 0 w 2211062"/>
                            <a:gd name="connsiteY0" fmla="*/ 95250 h 228600"/>
                            <a:gd name="connsiteX1" fmla="*/ 114300 w 2211062"/>
                            <a:gd name="connsiteY1" fmla="*/ 66675 h 228600"/>
                            <a:gd name="connsiteX2" fmla="*/ 171450 w 2211062"/>
                            <a:gd name="connsiteY2" fmla="*/ 28575 h 228600"/>
                            <a:gd name="connsiteX3" fmla="*/ 228600 w 2211062"/>
                            <a:gd name="connsiteY3" fmla="*/ 9525 h 228600"/>
                            <a:gd name="connsiteX4" fmla="*/ 257175 w 2211062"/>
                            <a:gd name="connsiteY4" fmla="*/ 0 h 228600"/>
                            <a:gd name="connsiteX5" fmla="*/ 285750 w 2211062"/>
                            <a:gd name="connsiteY5" fmla="*/ 9525 h 228600"/>
                            <a:gd name="connsiteX6" fmla="*/ 342900 w 2211062"/>
                            <a:gd name="connsiteY6" fmla="*/ 57150 h 228600"/>
                            <a:gd name="connsiteX7" fmla="*/ 352425 w 2211062"/>
                            <a:gd name="connsiteY7" fmla="*/ 85725 h 228600"/>
                            <a:gd name="connsiteX8" fmla="*/ 409575 w 2211062"/>
                            <a:gd name="connsiteY8" fmla="*/ 114300 h 228600"/>
                            <a:gd name="connsiteX9" fmla="*/ 514350 w 2211062"/>
                            <a:gd name="connsiteY9" fmla="*/ 104775 h 228600"/>
                            <a:gd name="connsiteX10" fmla="*/ 542925 w 2211062"/>
                            <a:gd name="connsiteY10" fmla="*/ 85725 h 228600"/>
                            <a:gd name="connsiteX11" fmla="*/ 600075 w 2211062"/>
                            <a:gd name="connsiteY11" fmla="*/ 28575 h 228600"/>
                            <a:gd name="connsiteX12" fmla="*/ 666750 w 2211062"/>
                            <a:gd name="connsiteY12" fmla="*/ 9525 h 228600"/>
                            <a:gd name="connsiteX13" fmla="*/ 762000 w 2211062"/>
                            <a:gd name="connsiteY13" fmla="*/ 28575 h 228600"/>
                            <a:gd name="connsiteX14" fmla="*/ 771525 w 2211062"/>
                            <a:gd name="connsiteY14" fmla="*/ 57150 h 228600"/>
                            <a:gd name="connsiteX15" fmla="*/ 800100 w 2211062"/>
                            <a:gd name="connsiteY15" fmla="*/ 76200 h 228600"/>
                            <a:gd name="connsiteX16" fmla="*/ 885825 w 2211062"/>
                            <a:gd name="connsiteY16" fmla="*/ 142875 h 228600"/>
                            <a:gd name="connsiteX17" fmla="*/ 942975 w 2211062"/>
                            <a:gd name="connsiteY17" fmla="*/ 161925 h 228600"/>
                            <a:gd name="connsiteX18" fmla="*/ 971550 w 2211062"/>
                            <a:gd name="connsiteY18" fmla="*/ 171450 h 228600"/>
                            <a:gd name="connsiteX19" fmla="*/ 1057275 w 2211062"/>
                            <a:gd name="connsiteY19" fmla="*/ 190500 h 228600"/>
                            <a:gd name="connsiteX20" fmla="*/ 1152525 w 2211062"/>
                            <a:gd name="connsiteY20" fmla="*/ 180975 h 228600"/>
                            <a:gd name="connsiteX21" fmla="*/ 1181100 w 2211062"/>
                            <a:gd name="connsiteY21" fmla="*/ 152400 h 228600"/>
                            <a:gd name="connsiteX22" fmla="*/ 1209675 w 2211062"/>
                            <a:gd name="connsiteY22" fmla="*/ 114300 h 228600"/>
                            <a:gd name="connsiteX23" fmla="*/ 1247775 w 2211062"/>
                            <a:gd name="connsiteY23" fmla="*/ 57150 h 228600"/>
                            <a:gd name="connsiteX24" fmla="*/ 1276350 w 2211062"/>
                            <a:gd name="connsiteY24" fmla="*/ 38100 h 228600"/>
                            <a:gd name="connsiteX25" fmla="*/ 1323975 w 2211062"/>
                            <a:gd name="connsiteY25" fmla="*/ 123825 h 228600"/>
                            <a:gd name="connsiteX26" fmla="*/ 1333500 w 2211062"/>
                            <a:gd name="connsiteY26" fmla="*/ 152400 h 228600"/>
                            <a:gd name="connsiteX27" fmla="*/ 1447800 w 2211062"/>
                            <a:gd name="connsiteY27" fmla="*/ 142875 h 228600"/>
                            <a:gd name="connsiteX28" fmla="*/ 1485900 w 2211062"/>
                            <a:gd name="connsiteY28" fmla="*/ 76200 h 228600"/>
                            <a:gd name="connsiteX29" fmla="*/ 1504950 w 2211062"/>
                            <a:gd name="connsiteY29" fmla="*/ 47625 h 228600"/>
                            <a:gd name="connsiteX30" fmla="*/ 1524000 w 2211062"/>
                            <a:gd name="connsiteY30" fmla="*/ 9525 h 228600"/>
                            <a:gd name="connsiteX31" fmla="*/ 1552575 w 2211062"/>
                            <a:gd name="connsiteY31" fmla="*/ 0 h 228600"/>
                            <a:gd name="connsiteX32" fmla="*/ 1619250 w 2211062"/>
                            <a:gd name="connsiteY32" fmla="*/ 38100 h 228600"/>
                            <a:gd name="connsiteX33" fmla="*/ 1676400 w 2211062"/>
                            <a:gd name="connsiteY33" fmla="*/ 95250 h 228600"/>
                            <a:gd name="connsiteX34" fmla="*/ 1695450 w 2211062"/>
                            <a:gd name="connsiteY34" fmla="*/ 123825 h 228600"/>
                            <a:gd name="connsiteX35" fmla="*/ 1724025 w 2211062"/>
                            <a:gd name="connsiteY35" fmla="*/ 133350 h 228600"/>
                            <a:gd name="connsiteX36" fmla="*/ 1781175 w 2211062"/>
                            <a:gd name="connsiteY36" fmla="*/ 161925 h 228600"/>
                            <a:gd name="connsiteX37" fmla="*/ 1905000 w 2211062"/>
                            <a:gd name="connsiteY37" fmla="*/ 142875 h 228600"/>
                            <a:gd name="connsiteX38" fmla="*/ 1933575 w 2211062"/>
                            <a:gd name="connsiteY38" fmla="*/ 123825 h 228600"/>
                            <a:gd name="connsiteX39" fmla="*/ 1962150 w 2211062"/>
                            <a:gd name="connsiteY39" fmla="*/ 47625 h 228600"/>
                            <a:gd name="connsiteX40" fmla="*/ 1971675 w 2211062"/>
                            <a:gd name="connsiteY40" fmla="*/ 19050 h 228600"/>
                            <a:gd name="connsiteX41" fmla="*/ 2000250 w 2211062"/>
                            <a:gd name="connsiteY41" fmla="*/ 38100 h 228600"/>
                            <a:gd name="connsiteX42" fmla="*/ 2038350 w 2211062"/>
                            <a:gd name="connsiteY42" fmla="*/ 95250 h 228600"/>
                            <a:gd name="connsiteX43" fmla="*/ 2095500 w 2211062"/>
                            <a:gd name="connsiteY43" fmla="*/ 133350 h 228600"/>
                            <a:gd name="connsiteX44" fmla="*/ 2181225 w 2211062"/>
                            <a:gd name="connsiteY44" fmla="*/ 171450 h 228600"/>
                            <a:gd name="connsiteX45" fmla="*/ 2209800 w 2211062"/>
                            <a:gd name="connsiteY45" fmla="*/ 209550 h 228600"/>
                            <a:gd name="connsiteX46" fmla="*/ 2209800 w 2211062"/>
                            <a:gd name="connsiteY46" fmla="*/ 228600 h 228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</a:cxnLst>
                          <a:rect l="l" t="t" r="r" b="b"/>
                          <a:pathLst>
                            <a:path w="2211062" h="228600">
                              <a:moveTo>
                                <a:pt x="0" y="95250"/>
                              </a:moveTo>
                              <a:cubicBezTo>
                                <a:pt x="28566" y="90489"/>
                                <a:pt x="89143" y="83446"/>
                                <a:pt x="114300" y="66675"/>
                              </a:cubicBezTo>
                              <a:cubicBezTo>
                                <a:pt x="133350" y="53975"/>
                                <a:pt x="149730" y="35815"/>
                                <a:pt x="171450" y="28575"/>
                              </a:cubicBezTo>
                              <a:lnTo>
                                <a:pt x="228600" y="9525"/>
                              </a:lnTo>
                              <a:lnTo>
                                <a:pt x="257175" y="0"/>
                              </a:lnTo>
                              <a:cubicBezTo>
                                <a:pt x="266700" y="3175"/>
                                <a:pt x="276770" y="5035"/>
                                <a:pt x="285750" y="9525"/>
                              </a:cubicBezTo>
                              <a:cubicBezTo>
                                <a:pt x="312272" y="22786"/>
                                <a:pt x="321834" y="36084"/>
                                <a:pt x="342900" y="57150"/>
                              </a:cubicBezTo>
                              <a:cubicBezTo>
                                <a:pt x="346075" y="66675"/>
                                <a:pt x="346153" y="77885"/>
                                <a:pt x="352425" y="85725"/>
                              </a:cubicBezTo>
                              <a:cubicBezTo>
                                <a:pt x="365854" y="102511"/>
                                <a:pt x="390751" y="108025"/>
                                <a:pt x="409575" y="114300"/>
                              </a:cubicBezTo>
                              <a:cubicBezTo>
                                <a:pt x="444500" y="111125"/>
                                <a:pt x="480059" y="112123"/>
                                <a:pt x="514350" y="104775"/>
                              </a:cubicBezTo>
                              <a:cubicBezTo>
                                <a:pt x="525544" y="102376"/>
                                <a:pt x="534369" y="93330"/>
                                <a:pt x="542925" y="85725"/>
                              </a:cubicBezTo>
                              <a:cubicBezTo>
                                <a:pt x="563061" y="67827"/>
                                <a:pt x="574517" y="37094"/>
                                <a:pt x="600075" y="28575"/>
                              </a:cubicBezTo>
                              <a:cubicBezTo>
                                <a:pt x="641069" y="14910"/>
                                <a:pt x="618910" y="21485"/>
                                <a:pt x="666750" y="9525"/>
                              </a:cubicBezTo>
                              <a:cubicBezTo>
                                <a:pt x="698500" y="15875"/>
                                <a:pt x="732523" y="15177"/>
                                <a:pt x="762000" y="28575"/>
                              </a:cubicBezTo>
                              <a:cubicBezTo>
                                <a:pt x="771140" y="32730"/>
                                <a:pt x="765253" y="49310"/>
                                <a:pt x="771525" y="57150"/>
                              </a:cubicBezTo>
                              <a:cubicBezTo>
                                <a:pt x="778676" y="66089"/>
                                <a:pt x="791306" y="68871"/>
                                <a:pt x="800100" y="76200"/>
                              </a:cubicBezTo>
                              <a:cubicBezTo>
                                <a:pt x="832974" y="103595"/>
                                <a:pt x="837677" y="126826"/>
                                <a:pt x="885825" y="142875"/>
                              </a:cubicBezTo>
                              <a:lnTo>
                                <a:pt x="942975" y="161925"/>
                              </a:lnTo>
                              <a:cubicBezTo>
                                <a:pt x="952500" y="165100"/>
                                <a:pt x="961705" y="169481"/>
                                <a:pt x="971550" y="171450"/>
                              </a:cubicBezTo>
                              <a:cubicBezTo>
                                <a:pt x="1032012" y="183542"/>
                                <a:pt x="1003469" y="177048"/>
                                <a:pt x="1057275" y="190500"/>
                              </a:cubicBezTo>
                              <a:cubicBezTo>
                                <a:pt x="1089025" y="187325"/>
                                <a:pt x="1122028" y="190359"/>
                                <a:pt x="1152525" y="180975"/>
                              </a:cubicBezTo>
                              <a:cubicBezTo>
                                <a:pt x="1165400" y="177014"/>
                                <a:pt x="1172334" y="162627"/>
                                <a:pt x="1181100" y="152400"/>
                              </a:cubicBezTo>
                              <a:cubicBezTo>
                                <a:pt x="1191431" y="140347"/>
                                <a:pt x="1200571" y="127305"/>
                                <a:pt x="1209675" y="114300"/>
                              </a:cubicBezTo>
                              <a:cubicBezTo>
                                <a:pt x="1222805" y="95543"/>
                                <a:pt x="1228725" y="69850"/>
                                <a:pt x="1247775" y="57150"/>
                              </a:cubicBezTo>
                              <a:lnTo>
                                <a:pt x="1276350" y="38100"/>
                              </a:lnTo>
                              <a:cubicBezTo>
                                <a:pt x="1299660" y="108029"/>
                                <a:pt x="1281201" y="81051"/>
                                <a:pt x="1323975" y="123825"/>
                              </a:cubicBezTo>
                              <a:cubicBezTo>
                                <a:pt x="1327150" y="133350"/>
                                <a:pt x="1326400" y="145300"/>
                                <a:pt x="1333500" y="152400"/>
                              </a:cubicBezTo>
                              <a:cubicBezTo>
                                <a:pt x="1359111" y="178011"/>
                                <a:pt x="1441877" y="144191"/>
                                <a:pt x="1447800" y="142875"/>
                              </a:cubicBezTo>
                              <a:cubicBezTo>
                                <a:pt x="1494212" y="73257"/>
                                <a:pt x="1437561" y="160793"/>
                                <a:pt x="1485900" y="76200"/>
                              </a:cubicBezTo>
                              <a:cubicBezTo>
                                <a:pt x="1491580" y="66261"/>
                                <a:pt x="1499270" y="57564"/>
                                <a:pt x="1504950" y="47625"/>
                              </a:cubicBezTo>
                              <a:cubicBezTo>
                                <a:pt x="1511995" y="35297"/>
                                <a:pt x="1513960" y="19565"/>
                                <a:pt x="1524000" y="9525"/>
                              </a:cubicBezTo>
                              <a:cubicBezTo>
                                <a:pt x="1531100" y="2425"/>
                                <a:pt x="1543050" y="3175"/>
                                <a:pt x="1552575" y="0"/>
                              </a:cubicBezTo>
                              <a:cubicBezTo>
                                <a:pt x="1567516" y="7471"/>
                                <a:pt x="1605787" y="24637"/>
                                <a:pt x="1619250" y="38100"/>
                              </a:cubicBezTo>
                              <a:cubicBezTo>
                                <a:pt x="1690137" y="108987"/>
                                <a:pt x="1609057" y="50355"/>
                                <a:pt x="1676400" y="95250"/>
                              </a:cubicBezTo>
                              <a:cubicBezTo>
                                <a:pt x="1682750" y="104775"/>
                                <a:pt x="1686511" y="116674"/>
                                <a:pt x="1695450" y="123825"/>
                              </a:cubicBezTo>
                              <a:cubicBezTo>
                                <a:pt x="1703290" y="130097"/>
                                <a:pt x="1715045" y="128860"/>
                                <a:pt x="1724025" y="133350"/>
                              </a:cubicBezTo>
                              <a:cubicBezTo>
                                <a:pt x="1797883" y="170279"/>
                                <a:pt x="1709351" y="137984"/>
                                <a:pt x="1781175" y="161925"/>
                              </a:cubicBezTo>
                              <a:cubicBezTo>
                                <a:pt x="1822450" y="155575"/>
                                <a:pt x="1864486" y="153003"/>
                                <a:pt x="1905000" y="142875"/>
                              </a:cubicBezTo>
                              <a:cubicBezTo>
                                <a:pt x="1916106" y="140099"/>
                                <a:pt x="1926246" y="132619"/>
                                <a:pt x="1933575" y="123825"/>
                              </a:cubicBezTo>
                              <a:cubicBezTo>
                                <a:pt x="1952875" y="100665"/>
                                <a:pt x="1954348" y="74931"/>
                                <a:pt x="1962150" y="47625"/>
                              </a:cubicBezTo>
                              <a:cubicBezTo>
                                <a:pt x="1964908" y="37971"/>
                                <a:pt x="1968500" y="28575"/>
                                <a:pt x="1971675" y="19050"/>
                              </a:cubicBezTo>
                              <a:cubicBezTo>
                                <a:pt x="1981200" y="25400"/>
                                <a:pt x="1993099" y="29161"/>
                                <a:pt x="2000250" y="38100"/>
                              </a:cubicBezTo>
                              <a:cubicBezTo>
                                <a:pt x="2052606" y="103545"/>
                                <a:pt x="1950926" y="27254"/>
                                <a:pt x="2038350" y="95250"/>
                              </a:cubicBezTo>
                              <a:cubicBezTo>
                                <a:pt x="2056422" y="109306"/>
                                <a:pt x="2073780" y="126110"/>
                                <a:pt x="2095500" y="133350"/>
                              </a:cubicBezTo>
                              <a:cubicBezTo>
                                <a:pt x="2123794" y="142781"/>
                                <a:pt x="2158584" y="148809"/>
                                <a:pt x="2181225" y="171450"/>
                              </a:cubicBezTo>
                              <a:cubicBezTo>
                                <a:pt x="2192450" y="182675"/>
                                <a:pt x="2202700" y="195351"/>
                                <a:pt x="2209800" y="209550"/>
                              </a:cubicBezTo>
                              <a:cubicBezTo>
                                <a:pt x="2212640" y="215230"/>
                                <a:pt x="2209800" y="222250"/>
                                <a:pt x="2209800" y="228600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" o:spid="_x0000_s1026" style="position:absolute;margin-left:22.5pt;margin-top:23.35pt;width:174.1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1062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" path="m,95250c28566,90489,89143,83446,114300,66675,133350,53975,149730,35815,171450,28575l228600,9525,257175,v9525,3175,19595,5035,28575,9525c312272,22786,321834,36084,342900,57150v3175,9525,3253,20735,9525,28575c365854,102511,390751,108025,409575,114300v34925,-3175,70484,-2177,104775,-9525c525544,102376,534369,93330,542925,85725,563061,67827,574517,37094,600075,28575,641069,14910,618910,21485,666750,9525v31750,6350,65773,5652,95250,19050c771140,32730,765253,49310,771525,57150v7151,8939,19781,11721,28575,19050c832974,103595,837677,126826,885825,142875r57150,19050c952500,165100,961705,169481,971550,171450v60462,12092,31919,5598,85725,19050c1089025,187325,1122028,190359,1152525,180975v12875,-3961,19809,-18348,28575,-28575c1191431,140347,1200571,127305,1209675,114300v13130,-18757,19050,-44450,38100,-57150l1276350,38100v23310,69929,4851,42951,47625,85725c1327150,133350,1326400,145300,1333500,152400v25611,25611,108377,-8209,114300,-9525c1494212,73257,1437561,160793,1485900,76200v5680,-9939,13370,-18636,19050,-28575c1511995,35297,1513960,19565,1524000,9525,1531100,2425,1543050,3175,1552575,v14941,7471,53212,24637,66675,38100c1690137,108987,1609057,50355,1676400,95250v6350,9525,10111,21424,19050,28575c1703290,130097,1715045,128860,1724025,133350v73858,36929,-14674,4634,57150,28575c1822450,155575,1864486,153003,1905000,142875v11106,-2776,21246,-10256,28575,-19050c1952875,100665,1954348,74931,1962150,47625v2758,-9654,6350,-19050,9525,-28575c1981200,25400,1993099,29161,2000250,38100v52356,65445,-49324,-10846,38100,57150c2056422,109306,2073780,126110,2095500,133350v28294,9431,63084,15459,85725,38100c2192450,182675,2202700,195351,2209800,209550v2840,5680,,12700,,19050e" filled="f" strokecolor="#243f60 [1604]" strokeweight="2pt">
                <v:path arrowok="t" o:connecttype="custom" o:connectlocs="0,95250;114300,66675;171450,28575;228600,9525;257175,0;285750,9525;342900,57150;352425,85725;409575,114300;514350,104775;542925,85725;600075,28575;666750,9525;762000,28575;771525,57150;800100,76200;885825,142875;942975,161925;971550,171450;1057275,190500;1152525,180975;1181100,152400;1209675,114300;1247775,57150;1276350,38100;1323975,123825;1333500,152400;1447800,142875;1485900,76200;1504950,47625;1524000,9525;1552575,0;1619250,38100;1676400,95250;1695450,123825;1724025,133350;1781175,161925;1905000,142875;1933575,123825;1962150,47625;1971675,19050;2000250,38100;2038350,95250;2095500,133350;2181225,171450;2209800,209550;2209800,228600" o:connectangles="0,0,0,0,0,0,0,0,0,0,0,0,0,0,0,0,0,0,0,0,0,0,0,0,0,0,0,0,0,0,0,0,0,0,0,0,0,0,0,0,0,0,0,0,0,0,0"/>
              </v:shape>
            </w:pict>
          </mc:Fallback>
        </mc:AlternateContent>
      </w:r>
      <w:r w:rsidR="0040005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B5A52" wp14:editId="6514AC44">
                <wp:simplePos x="0" y="0"/>
                <wp:positionH relativeFrom="column">
                  <wp:posOffset>47625</wp:posOffset>
                </wp:positionH>
                <wp:positionV relativeFrom="paragraph">
                  <wp:posOffset>306070</wp:posOffset>
                </wp:positionV>
                <wp:extent cx="2447925" cy="5429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3.75pt;margin-top:24.1pt;width:192.75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" fillcolor="white [3201]" strokecolor="#f79646 [3209]" strokeweight="2pt"/>
            </w:pict>
          </mc:Fallback>
        </mc:AlternateContent>
      </w:r>
      <w:r w:rsidR="00400051">
        <w:t>LGIP</w:t>
      </w:r>
    </w:p>
    <w:p w:rsidR="00400051" w:rsidRDefault="00400051" w:rsidP="0040005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219A8C" wp14:editId="5532D1A3">
                <wp:simplePos x="0" y="0"/>
                <wp:positionH relativeFrom="column">
                  <wp:posOffset>114300</wp:posOffset>
                </wp:positionH>
                <wp:positionV relativeFrom="paragraph">
                  <wp:posOffset>59055</wp:posOffset>
                </wp:positionV>
                <wp:extent cx="2381250" cy="390525"/>
                <wp:effectExtent l="0" t="0" r="76200" b="104775"/>
                <wp:wrapNone/>
                <wp:docPr id="2" name="Curved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390525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2" o:spid="_x0000_s1026" type="#_x0000_t38" style="position:absolute;margin-left:9pt;margin-top:4.65pt;width:187.5pt;height: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" adj="10800" strokecolor="#4579b8 [3044]">
                <v:stroke endarrow="open"/>
              </v:shape>
            </w:pict>
          </mc:Fallback>
        </mc:AlternateContent>
      </w:r>
    </w:p>
    <w:p w:rsidR="00400051" w:rsidRDefault="00400051"/>
    <w:p w:rsidR="004848EC" w:rsidRDefault="004848EC">
      <w:r>
        <w:t>This model was recently developed in 2014</w:t>
      </w:r>
    </w:p>
    <w:p w:rsidR="00400051" w:rsidRDefault="00400051">
      <w:proofErr w:type="gramStart"/>
      <w:r>
        <w:t xml:space="preserve">Downward slope as Future Cash Available </w:t>
      </w:r>
      <w:r w:rsidR="004848EC">
        <w:t>Peaks up and down.</w:t>
      </w:r>
      <w:proofErr w:type="gramEnd"/>
    </w:p>
    <w:p w:rsidR="004848EC" w:rsidRDefault="004848EC">
      <w:r>
        <w:t>Downward Slope is made by the maturing of bonds</w:t>
      </w:r>
    </w:p>
    <w:p w:rsidR="004848EC" w:rsidRDefault="004848EC">
      <w:r>
        <w:t>Peaks – Property Taxes have to paid by Jan. 31</w:t>
      </w:r>
      <w:r w:rsidRPr="004848EC">
        <w:rPr>
          <w:vertAlign w:val="superscript"/>
        </w:rPr>
        <w:t>st</w:t>
      </w:r>
      <w:r>
        <w:t>, drops – paying operating expenses, Sept &amp; Oct = beginning of fiscal year.</w:t>
      </w:r>
    </w:p>
    <w:p w:rsidR="004848EC" w:rsidRDefault="004848EC" w:rsidP="004848EC">
      <w:r>
        <w:t>3.  Yield</w:t>
      </w:r>
    </w:p>
    <w:p w:rsidR="004848EC" w:rsidRDefault="004848EC" w:rsidP="004848EC">
      <w:r>
        <w:lastRenderedPageBreak/>
        <w:t>Measured by Dollar Weighted Yield to Maturity</w:t>
      </w:r>
    </w:p>
    <w:p w:rsidR="004848EC" w:rsidRDefault="004848EC" w:rsidP="004848EC">
      <w:r>
        <w:t>Attaining market rate of return</w:t>
      </w:r>
    </w:p>
    <w:p w:rsidR="004848EC" w:rsidRDefault="004848EC" w:rsidP="004848EC">
      <w:proofErr w:type="spellStart"/>
      <w:r>
        <w:t>Optim</w:t>
      </w:r>
      <w:proofErr w:type="spellEnd"/>
      <w:r>
        <w:t xml:space="preserve"> asset allocation aligned with investment risk constrains</w:t>
      </w:r>
    </w:p>
    <w:p w:rsidR="004848EC" w:rsidRDefault="004848EC" w:rsidP="004848EC">
      <w:r>
        <w:t>Investment Management Strategies</w:t>
      </w:r>
    </w:p>
    <w:p w:rsidR="004848EC" w:rsidRDefault="00B43BB0" w:rsidP="004848EC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A13FD2" wp14:editId="5A1A1A74">
                <wp:simplePos x="0" y="0"/>
                <wp:positionH relativeFrom="column">
                  <wp:posOffset>419100</wp:posOffset>
                </wp:positionH>
                <wp:positionV relativeFrom="paragraph">
                  <wp:posOffset>274955</wp:posOffset>
                </wp:positionV>
                <wp:extent cx="2590800" cy="600075"/>
                <wp:effectExtent l="0" t="0" r="19050" b="28575"/>
                <wp:wrapNone/>
                <wp:docPr id="4" name="Round Same Side Corner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600075"/>
                        </a:xfrm>
                        <a:prstGeom prst="round2Same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ound Same Side Corner Rectangle 4" o:spid="_x0000_s1026" style="position:absolute;margin-left:33pt;margin-top:21.65pt;width:204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90800,600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" path="m100015,l2490785,v55237,,100015,44778,100015,100015l2590800,600075r,l,600075r,l,100015c,44778,44778,,100015,xe" fillcolor="white [3201]" strokecolor="#f79646 [3209]" strokeweight="2pt">
                <v:path arrowok="t" o:connecttype="custom" o:connectlocs="100015,0;2490785,0;2590800,100015;2590800,600075;2590800,600075;0,600075;0,600075;0,100015;100015,0" o:connectangles="0,0,0,0,0,0,0,0,0"/>
              </v:shape>
            </w:pict>
          </mc:Fallback>
        </mc:AlternateContent>
      </w:r>
      <w:r w:rsidR="004848EC">
        <w:t>Treasury Yield Curve</w:t>
      </w:r>
    </w:p>
    <w:p w:rsidR="004848EC" w:rsidRDefault="008711B7" w:rsidP="004848E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75B2B3" wp14:editId="5C555FB5">
                <wp:simplePos x="0" y="0"/>
                <wp:positionH relativeFrom="column">
                  <wp:posOffset>1171575</wp:posOffset>
                </wp:positionH>
                <wp:positionV relativeFrom="paragraph">
                  <wp:posOffset>56515</wp:posOffset>
                </wp:positionV>
                <wp:extent cx="942975" cy="389890"/>
                <wp:effectExtent l="0" t="0" r="28575" b="2921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975" cy="3898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25pt,4.45pt" to="166.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" strokecolor="#4579b8 [3044]"/>
            </w:pict>
          </mc:Fallback>
        </mc:AlternateContent>
      </w:r>
    </w:p>
    <w:p w:rsidR="004848EC" w:rsidRDefault="004848EC" w:rsidP="004848EC"/>
    <w:p w:rsidR="004848EC" w:rsidRDefault="004848EC" w:rsidP="004848EC">
      <w:r>
        <w:t>Longer the maturity, the higher the yield</w:t>
      </w:r>
    </w:p>
    <w:p w:rsidR="004848EC" w:rsidRDefault="004848EC">
      <w:r>
        <w:t xml:space="preserve">Weighted Average Days to Maturity </w:t>
      </w:r>
      <w:r w:rsidR="00B43BB0">
        <w:t xml:space="preserve">(has to be under a year) </w:t>
      </w:r>
      <w:r>
        <w:t>= Portfolio Yield</w:t>
      </w:r>
    </w:p>
    <w:p w:rsidR="004848EC" w:rsidRDefault="00B43BB0">
      <w:r>
        <w:t xml:space="preserve">$3 Mil additional interest revenue annually – 25 basis points </w:t>
      </w:r>
    </w:p>
    <w:p w:rsidR="00B43BB0" w:rsidRDefault="00B43BB0">
      <w:r>
        <w:t>Basis point – 1% of 1%</w:t>
      </w:r>
    </w:p>
    <w:p w:rsidR="004848EC" w:rsidRDefault="00B43BB0">
      <w:r>
        <w:t>Agencies – offer a few basis points over Treasure Yield Curve</w:t>
      </w:r>
    </w:p>
    <w:p w:rsidR="00B43BB0" w:rsidRDefault="00B43BB0">
      <w:r>
        <w:t>Spread is how competitive they are. The more basis points are better to a certain extent. Selects a benchmark, ex. 3 –Year Treasury Bond</w:t>
      </w:r>
    </w:p>
    <w:p w:rsidR="00B43BB0" w:rsidRDefault="00B43BB0">
      <w:r>
        <w:t>15 Mil outflows for 13,000 employees every Friday, Uniform 6,000, Citizen = other</w:t>
      </w:r>
    </w:p>
    <w:p w:rsidR="00B43BB0" w:rsidRDefault="008711B7">
      <w:r>
        <w:t>Minimum Amount for a purchase = $5 Mil</w:t>
      </w:r>
    </w:p>
    <w:p w:rsidR="008711B7" w:rsidRDefault="008711B7">
      <w:r>
        <w:t>Reverse Insurance – more and more common. 40% or 50%</w:t>
      </w:r>
    </w:p>
    <w:p w:rsidR="008711B7" w:rsidRDefault="008711B7" w:rsidP="00536422">
      <w:pPr>
        <w:jc w:val="center"/>
      </w:pPr>
      <w:r>
        <w:t>Internal Control Flowchart</w:t>
      </w:r>
    </w:p>
    <w:p w:rsidR="008711B7" w:rsidRDefault="008711B7">
      <w:r>
        <w:t>Review Governing Investment Policy and Statues -&gt; Investment Authorization -&gt;</w:t>
      </w:r>
    </w:p>
    <w:p w:rsidR="008711B7" w:rsidRDefault="008711B7">
      <w:r>
        <w:t>Perform Cash Flow Projection to Identify Future Cash Surplus/Needs</w:t>
      </w:r>
    </w:p>
    <w:p w:rsidR="008711B7" w:rsidRDefault="008711B7">
      <w:r>
        <w:t>Perform Investment Portfolio analysis -&gt; Investment Selection: Determine Monthly Investment Schedule</w:t>
      </w:r>
    </w:p>
    <w:p w:rsidR="008711B7" w:rsidRDefault="008711B7">
      <w:proofErr w:type="gramStart"/>
      <w:r>
        <w:t>US Agency or MMMF.</w:t>
      </w:r>
      <w:proofErr w:type="gramEnd"/>
    </w:p>
    <w:p w:rsidR="008711B7" w:rsidRDefault="008711B7">
      <w:r>
        <w:t>Investment Settlement and Safekeeping -&gt; Management Review and Approval</w:t>
      </w:r>
      <w:r w:rsidR="00536422">
        <w:t xml:space="preserve"> -&gt; </w:t>
      </w:r>
      <w:r>
        <w:t>Investment Reporting</w:t>
      </w:r>
    </w:p>
    <w:p w:rsidR="008711B7" w:rsidRDefault="008711B7" w:rsidP="008711B7">
      <w:pPr>
        <w:pStyle w:val="ListParagraph"/>
        <w:numPr>
          <w:ilvl w:val="0"/>
          <w:numId w:val="8"/>
        </w:numPr>
      </w:pPr>
      <w:r>
        <w:t>Investment Compliance Monitoring</w:t>
      </w:r>
    </w:p>
    <w:p w:rsidR="008711B7" w:rsidRDefault="008711B7" w:rsidP="008711B7">
      <w:pPr>
        <w:pStyle w:val="ListParagraph"/>
        <w:numPr>
          <w:ilvl w:val="0"/>
          <w:numId w:val="8"/>
        </w:numPr>
      </w:pPr>
      <w:r>
        <w:t>Investment Committee Oversight</w:t>
      </w:r>
    </w:p>
    <w:p w:rsidR="00536422" w:rsidRDefault="00536422">
      <w:r>
        <w:t>◊Uses Bloomberg</w:t>
      </w:r>
    </w:p>
    <w:p w:rsidR="006C1F89" w:rsidRDefault="006C1F89">
      <w:r>
        <w:lastRenderedPageBreak/>
        <w:t>Part II: Career Path, Credentials</w:t>
      </w:r>
    </w:p>
    <w:p w:rsidR="00400051" w:rsidRDefault="00AE17B3">
      <w:r>
        <w:t>CPA, CFA</w:t>
      </w:r>
      <w:proofErr w:type="gramStart"/>
      <w:r>
        <w:t>,  (</w:t>
      </w:r>
      <w:proofErr w:type="gramEnd"/>
      <w:r>
        <w:t>CMA – Accounting Cred but not as many classes)</w:t>
      </w:r>
    </w:p>
    <w:p w:rsidR="00AE17B3" w:rsidRDefault="00AE17B3">
      <w:r>
        <w:t>7 other Certifications – only when in the job did she get</w:t>
      </w:r>
    </w:p>
    <w:p w:rsidR="00AE17B3" w:rsidRDefault="00AE17B3">
      <w:r>
        <w:t>Practice is very important, discipline is very important</w:t>
      </w:r>
    </w:p>
    <w:p w:rsidR="00AE17B3" w:rsidRDefault="00AE17B3">
      <w:r>
        <w:t>CPA: ’97 took exams and passed, Advice: study hard and set goal.</w:t>
      </w:r>
    </w:p>
    <w:p w:rsidR="00AE17B3" w:rsidRDefault="00AE17B3">
      <w:r>
        <w:t xml:space="preserve">CFA: ’08, two years </w:t>
      </w:r>
      <w:proofErr w:type="gramStart"/>
      <w:r>
        <w:t>for three level</w:t>
      </w:r>
      <w:proofErr w:type="gramEnd"/>
      <w:r>
        <w:t xml:space="preserve">, Advice: set goal for each level, </w:t>
      </w:r>
      <w:proofErr w:type="spellStart"/>
      <w:r>
        <w:t>incrementals</w:t>
      </w:r>
      <w:proofErr w:type="spellEnd"/>
      <w:r w:rsidR="007A2623">
        <w:t>, It took her TWO years to get a job. Don’t make it hanging on getting the certificates.</w:t>
      </w:r>
    </w:p>
    <w:p w:rsidR="00AE17B3" w:rsidRDefault="00AE17B3">
      <w:proofErr w:type="spellStart"/>
      <w:proofErr w:type="gramStart"/>
      <w:r>
        <w:t>gameplan</w:t>
      </w:r>
      <w:proofErr w:type="spellEnd"/>
      <w:proofErr w:type="gramEnd"/>
      <w:r>
        <w:t xml:space="preserve"> – starting as an analyst -&gt; portfolio manager</w:t>
      </w:r>
    </w:p>
    <w:p w:rsidR="00AE17B3" w:rsidRDefault="00AE17B3">
      <w:r>
        <w:t>Zhang – treasury management analyst, most CFAs are not this</w:t>
      </w:r>
    </w:p>
    <w:p w:rsidR="007A2623" w:rsidRDefault="007A2623">
      <w:r>
        <w:t xml:space="preserve">Why did you go ahead and get </w:t>
      </w:r>
      <w:r w:rsidR="00E940C7">
        <w:t>CFA? Felt as she was good at math, interested in doing investments – More Business Math in Finance than Accounting</w:t>
      </w:r>
      <w:r w:rsidR="0007255B">
        <w:t>. Auditor and Compliance Officer for Investment with CFA Level I.</w:t>
      </w:r>
      <w:bookmarkStart w:id="0" w:name="_GoBack"/>
      <w:bookmarkEnd w:id="0"/>
    </w:p>
    <w:sectPr w:rsidR="007A2623" w:rsidSect="00AE17B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B116C"/>
    <w:multiLevelType w:val="hybridMultilevel"/>
    <w:tmpl w:val="FF76DA78"/>
    <w:lvl w:ilvl="0" w:tplc="B0145E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068F"/>
    <w:multiLevelType w:val="hybridMultilevel"/>
    <w:tmpl w:val="95462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A2167"/>
    <w:multiLevelType w:val="hybridMultilevel"/>
    <w:tmpl w:val="1FBE0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B3F59"/>
    <w:multiLevelType w:val="hybridMultilevel"/>
    <w:tmpl w:val="69EAC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52CD1"/>
    <w:multiLevelType w:val="hybridMultilevel"/>
    <w:tmpl w:val="AE58E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6E5406"/>
    <w:multiLevelType w:val="hybridMultilevel"/>
    <w:tmpl w:val="34B09A58"/>
    <w:lvl w:ilvl="0" w:tplc="B0145E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44183"/>
    <w:multiLevelType w:val="multilevel"/>
    <w:tmpl w:val="7122AD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75F4595B"/>
    <w:multiLevelType w:val="hybridMultilevel"/>
    <w:tmpl w:val="EB5E35E2"/>
    <w:lvl w:ilvl="0" w:tplc="249E4A82">
      <w:start w:val="1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BA5"/>
    <w:rsid w:val="0007255B"/>
    <w:rsid w:val="00400051"/>
    <w:rsid w:val="004848EC"/>
    <w:rsid w:val="00536422"/>
    <w:rsid w:val="006C1F89"/>
    <w:rsid w:val="007A2623"/>
    <w:rsid w:val="008711B7"/>
    <w:rsid w:val="00AE17B3"/>
    <w:rsid w:val="00B43BB0"/>
    <w:rsid w:val="00BB1BA5"/>
    <w:rsid w:val="00DD36D0"/>
    <w:rsid w:val="00E62210"/>
    <w:rsid w:val="00E9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Knutson (Badger)</dc:creator>
  <cp:lastModifiedBy>library</cp:lastModifiedBy>
  <cp:revision>3</cp:revision>
  <dcterms:created xsi:type="dcterms:W3CDTF">2015-11-03T22:44:00Z</dcterms:created>
  <dcterms:modified xsi:type="dcterms:W3CDTF">2015-11-04T00:27:00Z</dcterms:modified>
</cp:coreProperties>
</file>